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CE2D" w14:textId="77777777" w:rsidR="003A0639" w:rsidRDefault="003A0639" w:rsidP="003A0639">
      <w:pPr>
        <w:jc w:val="center"/>
        <w:rPr>
          <w:rFonts w:ascii="Arial" w:hAnsi="Arial" w:cs="Arial"/>
          <w:b/>
          <w:sz w:val="22"/>
          <w:szCs w:val="22"/>
        </w:rPr>
      </w:pPr>
      <w:bookmarkStart w:id="0" w:name="_Hlk527728413"/>
      <w:r>
        <w:rPr>
          <w:rFonts w:ascii="Arial" w:hAnsi="Arial" w:cs="Arial"/>
          <w:b/>
          <w:sz w:val="22"/>
          <w:szCs w:val="22"/>
        </w:rPr>
        <w:t>Public Notice</w:t>
      </w:r>
    </w:p>
    <w:p w14:paraId="5479990B" w14:textId="77777777" w:rsidR="003A0639" w:rsidRDefault="003A0639" w:rsidP="003A0639">
      <w:pPr>
        <w:jc w:val="center"/>
        <w:rPr>
          <w:rFonts w:ascii="Arial" w:hAnsi="Arial" w:cs="Arial"/>
          <w:b/>
          <w:sz w:val="22"/>
          <w:szCs w:val="22"/>
        </w:rPr>
      </w:pPr>
    </w:p>
    <w:p w14:paraId="04ED8697" w14:textId="4ED3F51C" w:rsidR="00262754" w:rsidRDefault="00262754" w:rsidP="003A0639">
      <w:pPr>
        <w:jc w:val="both"/>
        <w:rPr>
          <w:rFonts w:ascii="Arial" w:hAnsi="Arial" w:cs="Arial"/>
          <w:sz w:val="22"/>
          <w:szCs w:val="22"/>
        </w:rPr>
      </w:pPr>
      <w:r>
        <w:rPr>
          <w:rFonts w:ascii="Arial" w:hAnsi="Arial" w:cs="Arial"/>
          <w:sz w:val="22"/>
          <w:szCs w:val="22"/>
        </w:rPr>
        <w:t xml:space="preserve">The City of Houston </w:t>
      </w:r>
      <w:r w:rsidR="00B14786">
        <w:rPr>
          <w:rFonts w:ascii="Arial" w:hAnsi="Arial" w:cs="Arial"/>
          <w:sz w:val="22"/>
          <w:szCs w:val="22"/>
        </w:rPr>
        <w:t xml:space="preserve">(City), </w:t>
      </w:r>
      <w:r>
        <w:rPr>
          <w:rFonts w:ascii="Arial" w:hAnsi="Arial" w:cs="Arial"/>
          <w:sz w:val="22"/>
          <w:szCs w:val="22"/>
        </w:rPr>
        <w:t>through its Housing and Community Development Department (HCDD) is proposing</w:t>
      </w:r>
      <w:r w:rsidR="001A438D">
        <w:rPr>
          <w:rFonts w:ascii="Arial" w:hAnsi="Arial" w:cs="Arial"/>
          <w:sz w:val="22"/>
          <w:szCs w:val="22"/>
        </w:rPr>
        <w:t xml:space="preserve"> to</w:t>
      </w:r>
      <w:r>
        <w:rPr>
          <w:rFonts w:ascii="Arial" w:hAnsi="Arial" w:cs="Arial"/>
          <w:sz w:val="22"/>
          <w:szCs w:val="22"/>
        </w:rPr>
        <w:t xml:space="preserve"> </w:t>
      </w:r>
      <w:r w:rsidR="00B14786">
        <w:rPr>
          <w:rFonts w:ascii="Arial" w:hAnsi="Arial" w:cs="Arial"/>
          <w:sz w:val="22"/>
          <w:szCs w:val="22"/>
        </w:rPr>
        <w:t>enter into an agreement between the City and Cole Klein Builders (Cole Klein) providing a non-amortizing, forgivable loan of $3,100,</w:t>
      </w:r>
      <w:r w:rsidR="001A438D">
        <w:rPr>
          <w:rFonts w:ascii="Arial" w:hAnsi="Arial" w:cs="Arial"/>
          <w:sz w:val="22"/>
          <w:szCs w:val="22"/>
        </w:rPr>
        <w:t>0</w:t>
      </w:r>
      <w:r w:rsidR="00B14786">
        <w:rPr>
          <w:rFonts w:ascii="Arial" w:hAnsi="Arial" w:cs="Arial"/>
          <w:sz w:val="22"/>
          <w:szCs w:val="22"/>
        </w:rPr>
        <w:t>00.00 in Uptown TIRZ Series 2021 Affordable Homes Funds (Fund 2430) to finance the infrastructure for three single-family developments to be located North and Southeast Houston.</w:t>
      </w:r>
      <w:r w:rsidR="001A438D">
        <w:rPr>
          <w:rFonts w:ascii="Arial" w:hAnsi="Arial" w:cs="Arial"/>
          <w:sz w:val="22"/>
          <w:szCs w:val="22"/>
        </w:rPr>
        <w:t xml:space="preserve"> </w:t>
      </w:r>
      <w:r w:rsidR="00B14786">
        <w:rPr>
          <w:rFonts w:ascii="Arial" w:hAnsi="Arial" w:cs="Arial"/>
          <w:sz w:val="22"/>
          <w:szCs w:val="22"/>
        </w:rPr>
        <w:t>This project will be administered by HCD’s Large Tract Division’s Affordable Home Development Program (AHDP) with the aim of increasing affordable single-family homeownership opportunities for households earning between 60% and 120% of the Area Median Income (AMI).</w:t>
      </w:r>
    </w:p>
    <w:p w14:paraId="5DED7221" w14:textId="79403F0A" w:rsidR="00D86FA7" w:rsidRDefault="00D86FA7" w:rsidP="003A0639">
      <w:pPr>
        <w:jc w:val="both"/>
        <w:rPr>
          <w:rFonts w:ascii="Arial" w:hAnsi="Arial" w:cs="Arial"/>
          <w:sz w:val="22"/>
          <w:szCs w:val="22"/>
        </w:rPr>
      </w:pPr>
    </w:p>
    <w:p w14:paraId="0DADE528" w14:textId="798DD112" w:rsidR="009A1E18" w:rsidRDefault="00D86FA7" w:rsidP="003A0639">
      <w:pPr>
        <w:jc w:val="both"/>
        <w:rPr>
          <w:rFonts w:ascii="Arial" w:hAnsi="Arial" w:cs="Arial"/>
          <w:sz w:val="22"/>
          <w:szCs w:val="22"/>
        </w:rPr>
      </w:pPr>
      <w:r w:rsidRPr="00D86FA7">
        <w:rPr>
          <w:rFonts w:ascii="Arial" w:hAnsi="Arial" w:cs="Arial"/>
          <w:sz w:val="22"/>
          <w:szCs w:val="22"/>
        </w:rPr>
        <w:t xml:space="preserve">Cole Klein Builders will prepare lots for the new construction of 302 single-family homes: 250 affordable homes and 52 market rate homes. Cole Klein will oversee the development of Garver Gardens and Zuri Gardens located at the intersections of Martindale Road and Carson Road and Madden Lane and Carson Road in Southeast Houston. In addition, Cole Klein is developing </w:t>
      </w:r>
      <w:proofErr w:type="spellStart"/>
      <w:r w:rsidRPr="00D86FA7">
        <w:rPr>
          <w:rFonts w:ascii="Arial" w:hAnsi="Arial" w:cs="Arial"/>
          <w:sz w:val="22"/>
          <w:szCs w:val="22"/>
        </w:rPr>
        <w:t>Tinera</w:t>
      </w:r>
      <w:proofErr w:type="spellEnd"/>
      <w:r w:rsidRPr="00D86FA7">
        <w:rPr>
          <w:rFonts w:ascii="Arial" w:hAnsi="Arial" w:cs="Arial"/>
          <w:sz w:val="22"/>
          <w:szCs w:val="22"/>
        </w:rPr>
        <w:t xml:space="preserve"> Terrace located at 1502 &amp; 1514 W. Little York Road, Houston, Texas 77091 in North Houston.</w:t>
      </w:r>
    </w:p>
    <w:p w14:paraId="243DC30C" w14:textId="70707088" w:rsidR="0025738C" w:rsidRDefault="0025738C" w:rsidP="003A0639">
      <w:pPr>
        <w:jc w:val="both"/>
        <w:rPr>
          <w:rFonts w:ascii="Arial" w:hAnsi="Arial" w:cs="Arial"/>
          <w:sz w:val="22"/>
          <w:szCs w:val="22"/>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890"/>
        <w:gridCol w:w="972"/>
        <w:gridCol w:w="1316"/>
        <w:gridCol w:w="1364"/>
        <w:gridCol w:w="1195"/>
        <w:gridCol w:w="998"/>
      </w:tblGrid>
      <w:tr w:rsidR="006D7910" w14:paraId="495A4A7E" w14:textId="77777777" w:rsidTr="006D7910">
        <w:trPr>
          <w:trHeight w:val="432"/>
        </w:trPr>
        <w:tc>
          <w:tcPr>
            <w:tcW w:w="16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8246DD" w14:textId="6711139A" w:rsidR="00C52FD8" w:rsidRPr="000B2877" w:rsidRDefault="00C52FD8" w:rsidP="00AB10E2">
            <w:pPr>
              <w:jc w:val="center"/>
              <w:rPr>
                <w:rFonts w:ascii="Arial" w:hAnsi="Arial" w:cs="Arial"/>
                <w:b/>
                <w:bCs/>
                <w:color w:val="000000"/>
                <w:sz w:val="22"/>
                <w:szCs w:val="22"/>
              </w:rPr>
            </w:pPr>
            <w:r>
              <w:rPr>
                <w:rFonts w:ascii="Arial" w:hAnsi="Arial" w:cs="Arial"/>
                <w:b/>
                <w:bCs/>
                <w:color w:val="000000"/>
                <w:sz w:val="20"/>
                <w:szCs w:val="20"/>
              </w:rPr>
              <w:t>Development</w:t>
            </w:r>
          </w:p>
        </w:tc>
        <w:tc>
          <w:tcPr>
            <w:tcW w:w="1890" w:type="dxa"/>
            <w:tcBorders>
              <w:top w:val="single" w:sz="4" w:space="0" w:color="auto"/>
              <w:left w:val="single" w:sz="4" w:space="0" w:color="auto"/>
              <w:bottom w:val="single" w:sz="4" w:space="0" w:color="auto"/>
              <w:right w:val="single" w:sz="4" w:space="0" w:color="auto"/>
            </w:tcBorders>
            <w:shd w:val="clear" w:color="auto" w:fill="BFBFBF"/>
          </w:tcPr>
          <w:p w14:paraId="3E24187A" w14:textId="7901838B" w:rsidR="00C52FD8" w:rsidRDefault="00C52FD8" w:rsidP="00655304">
            <w:pPr>
              <w:jc w:val="center"/>
              <w:rPr>
                <w:rFonts w:ascii="Arial" w:hAnsi="Arial" w:cs="Arial"/>
                <w:b/>
                <w:bCs/>
                <w:color w:val="000000"/>
                <w:sz w:val="22"/>
                <w:szCs w:val="22"/>
              </w:rPr>
            </w:pPr>
            <w:r>
              <w:rPr>
                <w:rFonts w:ascii="Arial" w:hAnsi="Arial" w:cs="Arial"/>
                <w:b/>
                <w:bCs/>
                <w:color w:val="000000"/>
                <w:sz w:val="22"/>
                <w:szCs w:val="22"/>
              </w:rPr>
              <w:t>Neighborhood</w:t>
            </w:r>
          </w:p>
        </w:tc>
        <w:tc>
          <w:tcPr>
            <w:tcW w:w="972" w:type="dxa"/>
            <w:tcBorders>
              <w:top w:val="single" w:sz="4" w:space="0" w:color="auto"/>
              <w:left w:val="single" w:sz="4" w:space="0" w:color="auto"/>
              <w:bottom w:val="single" w:sz="4" w:space="0" w:color="auto"/>
              <w:right w:val="single" w:sz="4" w:space="0" w:color="auto"/>
            </w:tcBorders>
            <w:shd w:val="clear" w:color="auto" w:fill="BFBFBF"/>
          </w:tcPr>
          <w:p w14:paraId="40BCF869" w14:textId="355B934E" w:rsidR="00C52FD8" w:rsidRDefault="00C52FD8" w:rsidP="00655304">
            <w:pPr>
              <w:jc w:val="center"/>
              <w:rPr>
                <w:rFonts w:ascii="Arial" w:hAnsi="Arial" w:cs="Arial"/>
                <w:b/>
                <w:bCs/>
                <w:color w:val="000000"/>
                <w:sz w:val="22"/>
                <w:szCs w:val="22"/>
              </w:rPr>
            </w:pPr>
            <w:r>
              <w:rPr>
                <w:rFonts w:ascii="Arial" w:hAnsi="Arial" w:cs="Arial"/>
                <w:b/>
                <w:bCs/>
                <w:color w:val="000000"/>
                <w:sz w:val="22"/>
                <w:szCs w:val="22"/>
              </w:rPr>
              <w:t>Total Homes</w:t>
            </w:r>
          </w:p>
        </w:tc>
        <w:tc>
          <w:tcPr>
            <w:tcW w:w="1316" w:type="dxa"/>
            <w:tcBorders>
              <w:top w:val="single" w:sz="4" w:space="0" w:color="auto"/>
              <w:left w:val="single" w:sz="4" w:space="0" w:color="auto"/>
              <w:bottom w:val="single" w:sz="4" w:space="0" w:color="auto"/>
              <w:right w:val="single" w:sz="4" w:space="0" w:color="auto"/>
            </w:tcBorders>
            <w:shd w:val="clear" w:color="auto" w:fill="BFBFBF"/>
          </w:tcPr>
          <w:p w14:paraId="59C560DC" w14:textId="38080839" w:rsidR="00C52FD8" w:rsidRDefault="004B200E" w:rsidP="00655304">
            <w:pPr>
              <w:jc w:val="center"/>
              <w:rPr>
                <w:rFonts w:ascii="Arial" w:hAnsi="Arial" w:cs="Arial"/>
                <w:b/>
                <w:bCs/>
                <w:color w:val="000000"/>
                <w:sz w:val="22"/>
                <w:szCs w:val="22"/>
              </w:rPr>
            </w:pPr>
            <w:r>
              <w:rPr>
                <w:rFonts w:ascii="Arial" w:hAnsi="Arial" w:cs="Arial"/>
                <w:b/>
                <w:bCs/>
                <w:color w:val="000000"/>
                <w:sz w:val="22"/>
                <w:szCs w:val="22"/>
              </w:rPr>
              <w:t>Affordable Homes</w:t>
            </w:r>
          </w:p>
        </w:tc>
        <w:tc>
          <w:tcPr>
            <w:tcW w:w="1364" w:type="dxa"/>
            <w:tcBorders>
              <w:top w:val="single" w:sz="4" w:space="0" w:color="auto"/>
              <w:left w:val="single" w:sz="4" w:space="0" w:color="auto"/>
              <w:bottom w:val="single" w:sz="4" w:space="0" w:color="auto"/>
              <w:right w:val="single" w:sz="4" w:space="0" w:color="auto"/>
            </w:tcBorders>
            <w:shd w:val="clear" w:color="auto" w:fill="BFBFBF"/>
          </w:tcPr>
          <w:p w14:paraId="235FDBA4" w14:textId="45C9B147" w:rsidR="00C52FD8" w:rsidRDefault="004B200E" w:rsidP="00655304">
            <w:pPr>
              <w:jc w:val="center"/>
              <w:rPr>
                <w:rFonts w:ascii="Arial" w:hAnsi="Arial" w:cs="Arial"/>
                <w:b/>
                <w:bCs/>
                <w:color w:val="000000"/>
                <w:sz w:val="22"/>
                <w:szCs w:val="22"/>
              </w:rPr>
            </w:pPr>
            <w:r>
              <w:rPr>
                <w:rFonts w:ascii="Arial" w:hAnsi="Arial" w:cs="Arial"/>
                <w:b/>
                <w:bCs/>
                <w:color w:val="000000"/>
                <w:sz w:val="22"/>
                <w:szCs w:val="22"/>
              </w:rPr>
              <w:t>Target AMI Levels</w:t>
            </w:r>
          </w:p>
        </w:tc>
        <w:tc>
          <w:tcPr>
            <w:tcW w:w="1195" w:type="dxa"/>
            <w:tcBorders>
              <w:top w:val="single" w:sz="4" w:space="0" w:color="auto"/>
              <w:left w:val="single" w:sz="4" w:space="0" w:color="auto"/>
              <w:bottom w:val="single" w:sz="4" w:space="0" w:color="auto"/>
              <w:right w:val="single" w:sz="4" w:space="0" w:color="auto"/>
            </w:tcBorders>
            <w:shd w:val="clear" w:color="auto" w:fill="BFBFBF"/>
            <w:vAlign w:val="center"/>
          </w:tcPr>
          <w:p w14:paraId="54E5763C" w14:textId="1D281B8D" w:rsidR="00C52FD8" w:rsidRPr="00655304" w:rsidRDefault="004B200E" w:rsidP="00655304">
            <w:pPr>
              <w:jc w:val="center"/>
              <w:rPr>
                <w:rFonts w:ascii="Arial" w:hAnsi="Arial" w:cs="Arial"/>
                <w:b/>
                <w:bCs/>
                <w:color w:val="000000"/>
                <w:sz w:val="22"/>
                <w:szCs w:val="22"/>
              </w:rPr>
            </w:pPr>
            <w:r>
              <w:rPr>
                <w:rFonts w:ascii="Arial" w:hAnsi="Arial" w:cs="Arial"/>
                <w:b/>
                <w:bCs/>
                <w:color w:val="000000"/>
                <w:sz w:val="22"/>
                <w:szCs w:val="22"/>
              </w:rPr>
              <w:t>Unit Mix</w:t>
            </w:r>
          </w:p>
        </w:tc>
        <w:tc>
          <w:tcPr>
            <w:tcW w:w="99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F5AF7F" w14:textId="760C22F7" w:rsidR="00C52FD8" w:rsidRPr="000B2877" w:rsidRDefault="004B200E" w:rsidP="00AB10E2">
            <w:pPr>
              <w:jc w:val="center"/>
              <w:rPr>
                <w:rFonts w:ascii="Arial" w:hAnsi="Arial" w:cs="Arial"/>
                <w:b/>
                <w:bCs/>
                <w:color w:val="000000"/>
                <w:sz w:val="22"/>
                <w:szCs w:val="22"/>
              </w:rPr>
            </w:pPr>
            <w:r>
              <w:rPr>
                <w:rFonts w:ascii="Arial" w:hAnsi="Arial" w:cs="Arial"/>
                <w:b/>
                <w:bCs/>
                <w:color w:val="000000"/>
                <w:sz w:val="22"/>
                <w:szCs w:val="22"/>
              </w:rPr>
              <w:t>Sales Price</w:t>
            </w:r>
          </w:p>
        </w:tc>
      </w:tr>
      <w:tr w:rsidR="006D7910" w14:paraId="04B25F04" w14:textId="77777777" w:rsidTr="006D7910">
        <w:trPr>
          <w:trHeight w:val="360"/>
        </w:trPr>
        <w:tc>
          <w:tcPr>
            <w:tcW w:w="1610" w:type="dxa"/>
            <w:tcBorders>
              <w:top w:val="single" w:sz="4" w:space="0" w:color="auto"/>
              <w:left w:val="single" w:sz="4" w:space="0" w:color="auto"/>
              <w:bottom w:val="single" w:sz="4" w:space="0" w:color="auto"/>
              <w:right w:val="single" w:sz="4" w:space="0" w:color="auto"/>
            </w:tcBorders>
            <w:vAlign w:val="center"/>
            <w:hideMark/>
          </w:tcPr>
          <w:p w14:paraId="27E895D3" w14:textId="02D05AFD" w:rsidR="00C52FD8" w:rsidRPr="006D7910" w:rsidRDefault="004B200E" w:rsidP="006D7910">
            <w:pPr>
              <w:jc w:val="center"/>
              <w:rPr>
                <w:rFonts w:ascii="Arial" w:hAnsi="Arial" w:cs="Arial"/>
                <w:b/>
                <w:bCs/>
                <w:color w:val="000000"/>
                <w:sz w:val="22"/>
                <w:szCs w:val="22"/>
              </w:rPr>
            </w:pPr>
            <w:r w:rsidRPr="006D7910">
              <w:rPr>
                <w:rFonts w:ascii="Arial" w:hAnsi="Arial" w:cs="Arial"/>
                <w:b/>
                <w:bCs/>
                <w:sz w:val="22"/>
                <w:szCs w:val="22"/>
              </w:rPr>
              <w:t xml:space="preserve">Garver </w:t>
            </w:r>
            <w:r w:rsidR="00BF7916">
              <w:rPr>
                <w:rFonts w:ascii="Arial" w:hAnsi="Arial" w:cs="Arial"/>
                <w:b/>
                <w:bCs/>
                <w:sz w:val="22"/>
                <w:szCs w:val="22"/>
              </w:rPr>
              <w:t>Gardens</w:t>
            </w:r>
          </w:p>
        </w:tc>
        <w:tc>
          <w:tcPr>
            <w:tcW w:w="1890" w:type="dxa"/>
            <w:tcBorders>
              <w:top w:val="single" w:sz="4" w:space="0" w:color="auto"/>
              <w:left w:val="single" w:sz="4" w:space="0" w:color="auto"/>
              <w:bottom w:val="single" w:sz="4" w:space="0" w:color="auto"/>
              <w:right w:val="single" w:sz="4" w:space="0" w:color="auto"/>
            </w:tcBorders>
          </w:tcPr>
          <w:p w14:paraId="27F58993" w14:textId="3C78B8EE" w:rsidR="00C52FD8" w:rsidRPr="000B2877" w:rsidRDefault="004B200E" w:rsidP="006D7910">
            <w:pPr>
              <w:jc w:val="center"/>
              <w:rPr>
                <w:rFonts w:ascii="Arial" w:hAnsi="Arial" w:cs="Arial"/>
                <w:color w:val="000000"/>
                <w:sz w:val="22"/>
                <w:szCs w:val="22"/>
              </w:rPr>
            </w:pPr>
            <w:proofErr w:type="spellStart"/>
            <w:r>
              <w:rPr>
                <w:rFonts w:ascii="Arial" w:hAnsi="Arial" w:cs="Arial"/>
                <w:color w:val="000000"/>
                <w:sz w:val="22"/>
                <w:szCs w:val="22"/>
              </w:rPr>
              <w:t>Gulfgate</w:t>
            </w:r>
            <w:proofErr w:type="spellEnd"/>
            <w:r>
              <w:rPr>
                <w:rFonts w:ascii="Arial" w:hAnsi="Arial" w:cs="Arial"/>
                <w:color w:val="000000"/>
                <w:sz w:val="22"/>
                <w:szCs w:val="22"/>
              </w:rPr>
              <w:t>/Hobby Area</w:t>
            </w:r>
          </w:p>
        </w:tc>
        <w:tc>
          <w:tcPr>
            <w:tcW w:w="972" w:type="dxa"/>
            <w:tcBorders>
              <w:top w:val="single" w:sz="4" w:space="0" w:color="auto"/>
              <w:left w:val="single" w:sz="4" w:space="0" w:color="auto"/>
              <w:bottom w:val="single" w:sz="4" w:space="0" w:color="auto"/>
              <w:right w:val="single" w:sz="4" w:space="0" w:color="auto"/>
            </w:tcBorders>
          </w:tcPr>
          <w:p w14:paraId="7FEA3212" w14:textId="53864CFB" w:rsidR="00C52FD8" w:rsidRPr="000B2877" w:rsidRDefault="004B200E" w:rsidP="006D7910">
            <w:pPr>
              <w:jc w:val="center"/>
              <w:rPr>
                <w:rFonts w:ascii="Arial" w:hAnsi="Arial" w:cs="Arial"/>
                <w:color w:val="000000"/>
                <w:sz w:val="22"/>
                <w:szCs w:val="22"/>
              </w:rPr>
            </w:pPr>
            <w:r>
              <w:rPr>
                <w:rFonts w:ascii="Arial" w:hAnsi="Arial" w:cs="Arial"/>
                <w:color w:val="000000"/>
                <w:sz w:val="22"/>
                <w:szCs w:val="22"/>
              </w:rPr>
              <w:t>200</w:t>
            </w:r>
          </w:p>
        </w:tc>
        <w:tc>
          <w:tcPr>
            <w:tcW w:w="1316" w:type="dxa"/>
            <w:tcBorders>
              <w:top w:val="single" w:sz="4" w:space="0" w:color="auto"/>
              <w:left w:val="single" w:sz="4" w:space="0" w:color="auto"/>
              <w:bottom w:val="single" w:sz="4" w:space="0" w:color="auto"/>
              <w:right w:val="single" w:sz="4" w:space="0" w:color="auto"/>
            </w:tcBorders>
          </w:tcPr>
          <w:p w14:paraId="3B03F905" w14:textId="366B3641" w:rsidR="00C52FD8" w:rsidRPr="000B2877" w:rsidRDefault="004B200E" w:rsidP="006D7910">
            <w:pPr>
              <w:jc w:val="center"/>
              <w:rPr>
                <w:rFonts w:ascii="Arial" w:hAnsi="Arial" w:cs="Arial"/>
                <w:color w:val="000000"/>
                <w:sz w:val="22"/>
                <w:szCs w:val="22"/>
              </w:rPr>
            </w:pPr>
            <w:r>
              <w:rPr>
                <w:rFonts w:ascii="Arial" w:hAnsi="Arial" w:cs="Arial"/>
                <w:color w:val="000000"/>
                <w:sz w:val="22"/>
                <w:szCs w:val="22"/>
              </w:rPr>
              <w:t>160</w:t>
            </w:r>
          </w:p>
        </w:tc>
        <w:tc>
          <w:tcPr>
            <w:tcW w:w="1364" w:type="dxa"/>
            <w:tcBorders>
              <w:top w:val="single" w:sz="4" w:space="0" w:color="auto"/>
              <w:left w:val="single" w:sz="4" w:space="0" w:color="auto"/>
              <w:bottom w:val="single" w:sz="4" w:space="0" w:color="auto"/>
              <w:right w:val="single" w:sz="4" w:space="0" w:color="auto"/>
            </w:tcBorders>
          </w:tcPr>
          <w:p w14:paraId="1D0739A8" w14:textId="62D51797" w:rsidR="00C52FD8" w:rsidRPr="000B2877" w:rsidRDefault="00BF0AEA" w:rsidP="006D7910">
            <w:pPr>
              <w:jc w:val="center"/>
              <w:rPr>
                <w:rFonts w:ascii="Arial" w:hAnsi="Arial" w:cs="Arial"/>
                <w:color w:val="000000"/>
                <w:sz w:val="22"/>
                <w:szCs w:val="22"/>
              </w:rPr>
            </w:pPr>
            <w:r>
              <w:rPr>
                <w:rFonts w:ascii="Arial" w:hAnsi="Arial" w:cs="Arial"/>
                <w:color w:val="000000"/>
                <w:sz w:val="22"/>
                <w:szCs w:val="22"/>
              </w:rPr>
              <w:t>70% - 120%</w:t>
            </w:r>
          </w:p>
        </w:tc>
        <w:tc>
          <w:tcPr>
            <w:tcW w:w="1195" w:type="dxa"/>
            <w:tcBorders>
              <w:top w:val="single" w:sz="4" w:space="0" w:color="auto"/>
              <w:left w:val="single" w:sz="4" w:space="0" w:color="auto"/>
              <w:bottom w:val="single" w:sz="4" w:space="0" w:color="auto"/>
              <w:right w:val="single" w:sz="4" w:space="0" w:color="auto"/>
            </w:tcBorders>
            <w:vAlign w:val="center"/>
          </w:tcPr>
          <w:p w14:paraId="20C88629" w14:textId="655C526F" w:rsidR="00C52FD8" w:rsidRPr="000B2877" w:rsidRDefault="00BF0AEA" w:rsidP="006D7910">
            <w:pPr>
              <w:jc w:val="center"/>
              <w:rPr>
                <w:rFonts w:ascii="Arial" w:hAnsi="Arial" w:cs="Arial"/>
                <w:color w:val="000000"/>
                <w:sz w:val="22"/>
                <w:szCs w:val="22"/>
              </w:rPr>
            </w:pPr>
            <w:r>
              <w:rPr>
                <w:rFonts w:ascii="Arial" w:hAnsi="Arial" w:cs="Arial"/>
                <w:color w:val="000000"/>
                <w:sz w:val="22"/>
                <w:szCs w:val="22"/>
              </w:rPr>
              <w:t>3-4 bedrooms</w:t>
            </w:r>
          </w:p>
        </w:tc>
        <w:tc>
          <w:tcPr>
            <w:tcW w:w="998" w:type="dxa"/>
            <w:tcBorders>
              <w:top w:val="single" w:sz="4" w:space="0" w:color="auto"/>
              <w:left w:val="single" w:sz="4" w:space="0" w:color="auto"/>
              <w:bottom w:val="single" w:sz="4" w:space="0" w:color="auto"/>
              <w:right w:val="single" w:sz="4" w:space="0" w:color="auto"/>
            </w:tcBorders>
            <w:vAlign w:val="center"/>
            <w:hideMark/>
          </w:tcPr>
          <w:p w14:paraId="47CFA9D0" w14:textId="3B7B1EFA" w:rsidR="00C52FD8" w:rsidRPr="000B2877" w:rsidRDefault="00BF0AEA" w:rsidP="006D7910">
            <w:pPr>
              <w:jc w:val="center"/>
              <w:rPr>
                <w:rFonts w:ascii="Arial" w:hAnsi="Arial" w:cs="Arial"/>
                <w:color w:val="000000"/>
                <w:sz w:val="22"/>
                <w:szCs w:val="22"/>
                <w:highlight w:val="yellow"/>
              </w:rPr>
            </w:pPr>
            <w:r>
              <w:rPr>
                <w:rFonts w:ascii="Arial" w:hAnsi="Arial" w:cs="Arial"/>
                <w:color w:val="000000"/>
                <w:sz w:val="22"/>
                <w:szCs w:val="22"/>
              </w:rPr>
              <w:t>$259k - $359k</w:t>
            </w:r>
          </w:p>
        </w:tc>
      </w:tr>
      <w:tr w:rsidR="006D7910" w14:paraId="00FBDCDE" w14:textId="77777777" w:rsidTr="006D7910">
        <w:trPr>
          <w:trHeight w:val="360"/>
        </w:trPr>
        <w:tc>
          <w:tcPr>
            <w:tcW w:w="1610" w:type="dxa"/>
            <w:tcBorders>
              <w:top w:val="single" w:sz="4" w:space="0" w:color="auto"/>
              <w:left w:val="single" w:sz="4" w:space="0" w:color="auto"/>
              <w:bottom w:val="single" w:sz="4" w:space="0" w:color="auto"/>
              <w:right w:val="single" w:sz="4" w:space="0" w:color="auto"/>
            </w:tcBorders>
            <w:vAlign w:val="center"/>
          </w:tcPr>
          <w:p w14:paraId="7855E904" w14:textId="65DCCE74" w:rsidR="00C52FD8" w:rsidRPr="006D7910" w:rsidRDefault="00BF0AEA" w:rsidP="006D7910">
            <w:pPr>
              <w:jc w:val="center"/>
              <w:rPr>
                <w:rFonts w:ascii="Arial" w:hAnsi="Arial" w:cs="Arial"/>
                <w:b/>
                <w:bCs/>
                <w:sz w:val="22"/>
                <w:szCs w:val="22"/>
              </w:rPr>
            </w:pPr>
            <w:r w:rsidRPr="006D7910">
              <w:rPr>
                <w:rFonts w:ascii="Arial" w:hAnsi="Arial" w:cs="Arial"/>
                <w:b/>
                <w:bCs/>
                <w:sz w:val="22"/>
                <w:szCs w:val="22"/>
              </w:rPr>
              <w:t xml:space="preserve">Zuri Gardens </w:t>
            </w:r>
            <w:r w:rsidR="00E11B16" w:rsidRPr="006D7910">
              <w:rPr>
                <w:rFonts w:ascii="Arial" w:hAnsi="Arial" w:cs="Arial"/>
                <w:b/>
                <w:bCs/>
                <w:sz w:val="22"/>
                <w:szCs w:val="22"/>
              </w:rPr>
              <w:t>(Tiny House Community)</w:t>
            </w:r>
          </w:p>
        </w:tc>
        <w:tc>
          <w:tcPr>
            <w:tcW w:w="1890" w:type="dxa"/>
            <w:tcBorders>
              <w:top w:val="single" w:sz="4" w:space="0" w:color="auto"/>
              <w:left w:val="single" w:sz="4" w:space="0" w:color="auto"/>
              <w:bottom w:val="single" w:sz="4" w:space="0" w:color="auto"/>
              <w:right w:val="single" w:sz="4" w:space="0" w:color="auto"/>
            </w:tcBorders>
          </w:tcPr>
          <w:p w14:paraId="3F1D14EA" w14:textId="0C28EF28" w:rsidR="00C52FD8" w:rsidRDefault="00E11B16" w:rsidP="006D7910">
            <w:pPr>
              <w:jc w:val="center"/>
              <w:rPr>
                <w:rFonts w:ascii="Arial" w:hAnsi="Arial" w:cs="Arial"/>
                <w:color w:val="000000"/>
                <w:sz w:val="22"/>
                <w:szCs w:val="22"/>
              </w:rPr>
            </w:pPr>
            <w:proofErr w:type="spellStart"/>
            <w:r>
              <w:rPr>
                <w:rFonts w:ascii="Arial" w:hAnsi="Arial" w:cs="Arial"/>
                <w:color w:val="000000"/>
                <w:sz w:val="22"/>
                <w:szCs w:val="22"/>
              </w:rPr>
              <w:t>Gulfgate</w:t>
            </w:r>
            <w:proofErr w:type="spellEnd"/>
            <w:r>
              <w:rPr>
                <w:rFonts w:ascii="Arial" w:hAnsi="Arial" w:cs="Arial"/>
                <w:color w:val="000000"/>
                <w:sz w:val="22"/>
                <w:szCs w:val="22"/>
              </w:rPr>
              <w:t>/Hobby Area</w:t>
            </w:r>
          </w:p>
        </w:tc>
        <w:tc>
          <w:tcPr>
            <w:tcW w:w="972" w:type="dxa"/>
            <w:tcBorders>
              <w:top w:val="single" w:sz="4" w:space="0" w:color="auto"/>
              <w:left w:val="single" w:sz="4" w:space="0" w:color="auto"/>
              <w:bottom w:val="single" w:sz="4" w:space="0" w:color="auto"/>
              <w:right w:val="single" w:sz="4" w:space="0" w:color="auto"/>
            </w:tcBorders>
          </w:tcPr>
          <w:p w14:paraId="719B90F6" w14:textId="4FD70CFF" w:rsidR="00C52FD8" w:rsidRDefault="00E11B16" w:rsidP="006D7910">
            <w:pPr>
              <w:jc w:val="center"/>
              <w:rPr>
                <w:rFonts w:ascii="Arial" w:hAnsi="Arial" w:cs="Arial"/>
                <w:color w:val="000000"/>
                <w:sz w:val="22"/>
                <w:szCs w:val="22"/>
              </w:rPr>
            </w:pPr>
            <w:r>
              <w:rPr>
                <w:rFonts w:ascii="Arial" w:hAnsi="Arial" w:cs="Arial"/>
                <w:color w:val="000000"/>
                <w:sz w:val="22"/>
                <w:szCs w:val="22"/>
              </w:rPr>
              <w:t>80</w:t>
            </w:r>
          </w:p>
        </w:tc>
        <w:tc>
          <w:tcPr>
            <w:tcW w:w="1316" w:type="dxa"/>
            <w:tcBorders>
              <w:top w:val="single" w:sz="4" w:space="0" w:color="auto"/>
              <w:left w:val="single" w:sz="4" w:space="0" w:color="auto"/>
              <w:bottom w:val="single" w:sz="4" w:space="0" w:color="auto"/>
              <w:right w:val="single" w:sz="4" w:space="0" w:color="auto"/>
            </w:tcBorders>
          </w:tcPr>
          <w:p w14:paraId="34878A90" w14:textId="7B21BA92" w:rsidR="00C52FD8" w:rsidRDefault="00E11B16" w:rsidP="006D7910">
            <w:pPr>
              <w:jc w:val="center"/>
              <w:rPr>
                <w:rFonts w:ascii="Arial" w:hAnsi="Arial" w:cs="Arial"/>
                <w:color w:val="000000"/>
                <w:sz w:val="22"/>
                <w:szCs w:val="22"/>
              </w:rPr>
            </w:pPr>
            <w:r>
              <w:rPr>
                <w:rFonts w:ascii="Arial" w:hAnsi="Arial" w:cs="Arial"/>
                <w:color w:val="000000"/>
                <w:sz w:val="22"/>
                <w:szCs w:val="22"/>
              </w:rPr>
              <w:t>80</w:t>
            </w:r>
          </w:p>
        </w:tc>
        <w:tc>
          <w:tcPr>
            <w:tcW w:w="1364" w:type="dxa"/>
            <w:tcBorders>
              <w:top w:val="single" w:sz="4" w:space="0" w:color="auto"/>
              <w:left w:val="single" w:sz="4" w:space="0" w:color="auto"/>
              <w:bottom w:val="single" w:sz="4" w:space="0" w:color="auto"/>
              <w:right w:val="single" w:sz="4" w:space="0" w:color="auto"/>
            </w:tcBorders>
          </w:tcPr>
          <w:p w14:paraId="0884B9A2" w14:textId="068B7C40" w:rsidR="00C52FD8" w:rsidRDefault="00E11B16" w:rsidP="006D7910">
            <w:pPr>
              <w:jc w:val="center"/>
              <w:rPr>
                <w:rFonts w:ascii="Arial" w:hAnsi="Arial" w:cs="Arial"/>
                <w:color w:val="000000"/>
                <w:sz w:val="22"/>
                <w:szCs w:val="22"/>
              </w:rPr>
            </w:pPr>
            <w:r>
              <w:rPr>
                <w:rFonts w:ascii="Arial" w:hAnsi="Arial" w:cs="Arial"/>
                <w:color w:val="000000"/>
                <w:sz w:val="22"/>
                <w:szCs w:val="22"/>
              </w:rPr>
              <w:t>70% - 120%</w:t>
            </w:r>
          </w:p>
        </w:tc>
        <w:tc>
          <w:tcPr>
            <w:tcW w:w="1195" w:type="dxa"/>
            <w:tcBorders>
              <w:top w:val="single" w:sz="4" w:space="0" w:color="auto"/>
              <w:left w:val="single" w:sz="4" w:space="0" w:color="auto"/>
              <w:bottom w:val="single" w:sz="4" w:space="0" w:color="auto"/>
              <w:right w:val="single" w:sz="4" w:space="0" w:color="auto"/>
            </w:tcBorders>
            <w:vAlign w:val="center"/>
          </w:tcPr>
          <w:p w14:paraId="12D946D3" w14:textId="15AD8D23" w:rsidR="00C52FD8" w:rsidRPr="000B2877" w:rsidRDefault="00E11B16" w:rsidP="006D7910">
            <w:pPr>
              <w:jc w:val="center"/>
              <w:rPr>
                <w:rFonts w:ascii="Arial" w:hAnsi="Arial" w:cs="Arial"/>
                <w:color w:val="000000"/>
                <w:sz w:val="22"/>
                <w:szCs w:val="22"/>
              </w:rPr>
            </w:pPr>
            <w:r>
              <w:rPr>
                <w:rFonts w:ascii="Arial" w:hAnsi="Arial" w:cs="Arial"/>
                <w:color w:val="000000"/>
                <w:sz w:val="22"/>
                <w:szCs w:val="22"/>
              </w:rPr>
              <w:t>1-2 bedrooms</w:t>
            </w:r>
          </w:p>
        </w:tc>
        <w:tc>
          <w:tcPr>
            <w:tcW w:w="998" w:type="dxa"/>
            <w:tcBorders>
              <w:top w:val="single" w:sz="4" w:space="0" w:color="auto"/>
              <w:left w:val="single" w:sz="4" w:space="0" w:color="auto"/>
              <w:bottom w:val="single" w:sz="4" w:space="0" w:color="auto"/>
              <w:right w:val="single" w:sz="4" w:space="0" w:color="auto"/>
            </w:tcBorders>
            <w:vAlign w:val="center"/>
          </w:tcPr>
          <w:p w14:paraId="347ED69C" w14:textId="2FC25443" w:rsidR="00C52FD8" w:rsidRPr="000B2877" w:rsidRDefault="00E11B16" w:rsidP="006D7910">
            <w:pPr>
              <w:jc w:val="center"/>
              <w:rPr>
                <w:rFonts w:ascii="Arial" w:hAnsi="Arial" w:cs="Arial"/>
                <w:color w:val="000000"/>
                <w:sz w:val="22"/>
                <w:szCs w:val="22"/>
              </w:rPr>
            </w:pPr>
            <w:r>
              <w:rPr>
                <w:rFonts w:ascii="Arial" w:hAnsi="Arial" w:cs="Arial"/>
                <w:color w:val="000000"/>
                <w:sz w:val="22"/>
                <w:szCs w:val="22"/>
              </w:rPr>
              <w:t>$169k - $250k</w:t>
            </w:r>
          </w:p>
        </w:tc>
      </w:tr>
      <w:tr w:rsidR="006D7910" w14:paraId="65CB6837" w14:textId="77777777" w:rsidTr="006D7910">
        <w:trPr>
          <w:trHeight w:val="360"/>
        </w:trPr>
        <w:tc>
          <w:tcPr>
            <w:tcW w:w="1610" w:type="dxa"/>
            <w:tcBorders>
              <w:top w:val="single" w:sz="4" w:space="0" w:color="auto"/>
              <w:left w:val="single" w:sz="4" w:space="0" w:color="auto"/>
              <w:bottom w:val="single" w:sz="4" w:space="0" w:color="auto"/>
              <w:right w:val="single" w:sz="4" w:space="0" w:color="auto"/>
            </w:tcBorders>
            <w:vAlign w:val="center"/>
          </w:tcPr>
          <w:p w14:paraId="0E1D92F1" w14:textId="21DF5099" w:rsidR="00C52FD8" w:rsidRPr="006D7910" w:rsidRDefault="00E11B16" w:rsidP="006D7910">
            <w:pPr>
              <w:jc w:val="center"/>
              <w:rPr>
                <w:rFonts w:ascii="Arial" w:hAnsi="Arial" w:cs="Arial"/>
                <w:b/>
                <w:bCs/>
                <w:sz w:val="22"/>
                <w:szCs w:val="22"/>
              </w:rPr>
            </w:pPr>
            <w:proofErr w:type="spellStart"/>
            <w:r w:rsidRPr="006D7910">
              <w:rPr>
                <w:rFonts w:ascii="Arial" w:hAnsi="Arial" w:cs="Arial"/>
                <w:b/>
                <w:bCs/>
                <w:sz w:val="22"/>
                <w:szCs w:val="22"/>
              </w:rPr>
              <w:t>Tinera</w:t>
            </w:r>
            <w:proofErr w:type="spellEnd"/>
            <w:r w:rsidRPr="006D7910">
              <w:rPr>
                <w:rFonts w:ascii="Arial" w:hAnsi="Arial" w:cs="Arial"/>
                <w:b/>
                <w:bCs/>
                <w:sz w:val="22"/>
                <w:szCs w:val="22"/>
              </w:rPr>
              <w:t xml:space="preserve"> Terrace</w:t>
            </w:r>
          </w:p>
        </w:tc>
        <w:tc>
          <w:tcPr>
            <w:tcW w:w="1890" w:type="dxa"/>
            <w:tcBorders>
              <w:top w:val="single" w:sz="4" w:space="0" w:color="auto"/>
              <w:left w:val="single" w:sz="4" w:space="0" w:color="auto"/>
              <w:bottom w:val="single" w:sz="4" w:space="0" w:color="auto"/>
              <w:right w:val="single" w:sz="4" w:space="0" w:color="auto"/>
            </w:tcBorders>
          </w:tcPr>
          <w:p w14:paraId="06FC6278" w14:textId="28DCF16A" w:rsidR="00C52FD8" w:rsidRDefault="00E11B16" w:rsidP="006D7910">
            <w:pPr>
              <w:jc w:val="center"/>
              <w:rPr>
                <w:rFonts w:ascii="Arial" w:hAnsi="Arial" w:cs="Arial"/>
                <w:color w:val="000000"/>
                <w:sz w:val="22"/>
                <w:szCs w:val="22"/>
              </w:rPr>
            </w:pPr>
            <w:r>
              <w:rPr>
                <w:rFonts w:ascii="Arial" w:hAnsi="Arial" w:cs="Arial"/>
                <w:color w:val="000000"/>
                <w:sz w:val="22"/>
                <w:szCs w:val="22"/>
              </w:rPr>
              <w:t>Acres Homes</w:t>
            </w:r>
          </w:p>
        </w:tc>
        <w:tc>
          <w:tcPr>
            <w:tcW w:w="972" w:type="dxa"/>
            <w:tcBorders>
              <w:top w:val="single" w:sz="4" w:space="0" w:color="auto"/>
              <w:left w:val="single" w:sz="4" w:space="0" w:color="auto"/>
              <w:bottom w:val="single" w:sz="4" w:space="0" w:color="auto"/>
              <w:right w:val="single" w:sz="4" w:space="0" w:color="auto"/>
            </w:tcBorders>
          </w:tcPr>
          <w:p w14:paraId="7F0D8C56" w14:textId="3AF56BB6" w:rsidR="00C52FD8" w:rsidRDefault="00E11B16" w:rsidP="006D7910">
            <w:pPr>
              <w:jc w:val="center"/>
              <w:rPr>
                <w:rFonts w:ascii="Arial" w:hAnsi="Arial" w:cs="Arial"/>
                <w:color w:val="000000"/>
                <w:sz w:val="22"/>
                <w:szCs w:val="22"/>
              </w:rPr>
            </w:pPr>
            <w:r>
              <w:rPr>
                <w:rFonts w:ascii="Arial" w:hAnsi="Arial" w:cs="Arial"/>
                <w:color w:val="000000"/>
                <w:sz w:val="22"/>
                <w:szCs w:val="22"/>
              </w:rPr>
              <w:t>22</w:t>
            </w:r>
          </w:p>
        </w:tc>
        <w:tc>
          <w:tcPr>
            <w:tcW w:w="1316" w:type="dxa"/>
            <w:tcBorders>
              <w:top w:val="single" w:sz="4" w:space="0" w:color="auto"/>
              <w:left w:val="single" w:sz="4" w:space="0" w:color="auto"/>
              <w:bottom w:val="single" w:sz="4" w:space="0" w:color="auto"/>
              <w:right w:val="single" w:sz="4" w:space="0" w:color="auto"/>
            </w:tcBorders>
          </w:tcPr>
          <w:p w14:paraId="215AD6E8" w14:textId="3C90545E" w:rsidR="00C52FD8" w:rsidRDefault="00E11B16" w:rsidP="006D7910">
            <w:pPr>
              <w:jc w:val="center"/>
              <w:rPr>
                <w:rFonts w:ascii="Arial" w:hAnsi="Arial" w:cs="Arial"/>
                <w:color w:val="000000"/>
                <w:sz w:val="22"/>
                <w:szCs w:val="22"/>
              </w:rPr>
            </w:pPr>
            <w:r>
              <w:rPr>
                <w:rFonts w:ascii="Arial" w:hAnsi="Arial" w:cs="Arial"/>
                <w:color w:val="000000"/>
                <w:sz w:val="22"/>
                <w:szCs w:val="22"/>
              </w:rPr>
              <w:t>10</w:t>
            </w:r>
          </w:p>
        </w:tc>
        <w:tc>
          <w:tcPr>
            <w:tcW w:w="1364" w:type="dxa"/>
            <w:tcBorders>
              <w:top w:val="single" w:sz="4" w:space="0" w:color="auto"/>
              <w:left w:val="single" w:sz="4" w:space="0" w:color="auto"/>
              <w:bottom w:val="single" w:sz="4" w:space="0" w:color="auto"/>
              <w:right w:val="single" w:sz="4" w:space="0" w:color="auto"/>
            </w:tcBorders>
          </w:tcPr>
          <w:p w14:paraId="0435C0ED" w14:textId="16AE2AC1" w:rsidR="00C52FD8" w:rsidRDefault="00E11B16" w:rsidP="006D7910">
            <w:pPr>
              <w:jc w:val="center"/>
              <w:rPr>
                <w:rFonts w:ascii="Arial" w:hAnsi="Arial" w:cs="Arial"/>
                <w:color w:val="000000"/>
                <w:sz w:val="22"/>
                <w:szCs w:val="22"/>
              </w:rPr>
            </w:pPr>
            <w:r>
              <w:rPr>
                <w:rFonts w:ascii="Arial" w:hAnsi="Arial" w:cs="Arial"/>
                <w:color w:val="000000"/>
                <w:sz w:val="22"/>
                <w:szCs w:val="22"/>
              </w:rPr>
              <w:t>80% - 120%</w:t>
            </w:r>
          </w:p>
        </w:tc>
        <w:tc>
          <w:tcPr>
            <w:tcW w:w="1195" w:type="dxa"/>
            <w:tcBorders>
              <w:top w:val="single" w:sz="4" w:space="0" w:color="auto"/>
              <w:left w:val="single" w:sz="4" w:space="0" w:color="auto"/>
              <w:bottom w:val="single" w:sz="4" w:space="0" w:color="auto"/>
              <w:right w:val="single" w:sz="4" w:space="0" w:color="auto"/>
            </w:tcBorders>
            <w:vAlign w:val="center"/>
          </w:tcPr>
          <w:p w14:paraId="1F9ADDE0" w14:textId="01F75D5F" w:rsidR="00C52FD8" w:rsidRPr="000B2877" w:rsidRDefault="00E11B16" w:rsidP="006D7910">
            <w:pPr>
              <w:jc w:val="center"/>
              <w:rPr>
                <w:rFonts w:ascii="Arial" w:hAnsi="Arial" w:cs="Arial"/>
                <w:color w:val="000000"/>
                <w:sz w:val="22"/>
                <w:szCs w:val="22"/>
              </w:rPr>
            </w:pPr>
            <w:r>
              <w:rPr>
                <w:rFonts w:ascii="Arial" w:hAnsi="Arial" w:cs="Arial"/>
                <w:color w:val="000000"/>
                <w:sz w:val="22"/>
                <w:szCs w:val="22"/>
              </w:rPr>
              <w:t>3 bedrooms</w:t>
            </w:r>
          </w:p>
        </w:tc>
        <w:tc>
          <w:tcPr>
            <w:tcW w:w="998" w:type="dxa"/>
            <w:tcBorders>
              <w:top w:val="single" w:sz="4" w:space="0" w:color="auto"/>
              <w:left w:val="single" w:sz="4" w:space="0" w:color="auto"/>
              <w:bottom w:val="single" w:sz="4" w:space="0" w:color="auto"/>
              <w:right w:val="single" w:sz="4" w:space="0" w:color="auto"/>
            </w:tcBorders>
            <w:vAlign w:val="center"/>
          </w:tcPr>
          <w:p w14:paraId="133EA84E" w14:textId="44C086F5" w:rsidR="00C52FD8" w:rsidRPr="000B2877" w:rsidRDefault="00E11B16" w:rsidP="006D7910">
            <w:pPr>
              <w:jc w:val="center"/>
              <w:rPr>
                <w:rFonts w:ascii="Arial" w:hAnsi="Arial" w:cs="Arial"/>
                <w:color w:val="000000"/>
                <w:sz w:val="22"/>
                <w:szCs w:val="22"/>
              </w:rPr>
            </w:pPr>
            <w:r>
              <w:rPr>
                <w:rFonts w:ascii="Arial" w:hAnsi="Arial" w:cs="Arial"/>
                <w:color w:val="000000"/>
                <w:sz w:val="22"/>
                <w:szCs w:val="22"/>
              </w:rPr>
              <w:t>$190k - $333k</w:t>
            </w:r>
          </w:p>
        </w:tc>
      </w:tr>
      <w:tr w:rsidR="006D7910" w14:paraId="495D2AFE" w14:textId="77777777" w:rsidTr="006D7910">
        <w:trPr>
          <w:trHeight w:val="360"/>
        </w:trPr>
        <w:tc>
          <w:tcPr>
            <w:tcW w:w="1610" w:type="dxa"/>
            <w:tcBorders>
              <w:top w:val="single" w:sz="4" w:space="0" w:color="auto"/>
              <w:left w:val="single" w:sz="4" w:space="0" w:color="auto"/>
              <w:bottom w:val="single" w:sz="4" w:space="0" w:color="auto"/>
              <w:right w:val="single" w:sz="4" w:space="0" w:color="auto"/>
            </w:tcBorders>
            <w:vAlign w:val="center"/>
          </w:tcPr>
          <w:p w14:paraId="71D5A323" w14:textId="73F5F38F" w:rsidR="006D7910" w:rsidRPr="006D7910" w:rsidRDefault="006D7910" w:rsidP="006D7910">
            <w:pPr>
              <w:jc w:val="center"/>
              <w:rPr>
                <w:rFonts w:ascii="Arial" w:hAnsi="Arial" w:cs="Arial"/>
                <w:b/>
                <w:bCs/>
                <w:sz w:val="22"/>
                <w:szCs w:val="22"/>
              </w:rPr>
            </w:pPr>
            <w:r w:rsidRPr="006D7910">
              <w:rPr>
                <w:rFonts w:ascii="Arial" w:hAnsi="Arial" w:cs="Arial"/>
                <w:b/>
                <w:bCs/>
                <w:sz w:val="22"/>
                <w:szCs w:val="22"/>
              </w:rPr>
              <w:t>Total</w:t>
            </w:r>
          </w:p>
        </w:tc>
        <w:tc>
          <w:tcPr>
            <w:tcW w:w="1890" w:type="dxa"/>
            <w:tcBorders>
              <w:top w:val="single" w:sz="4" w:space="0" w:color="auto"/>
              <w:left w:val="single" w:sz="4" w:space="0" w:color="auto"/>
              <w:bottom w:val="single" w:sz="4" w:space="0" w:color="auto"/>
              <w:right w:val="single" w:sz="4" w:space="0" w:color="auto"/>
            </w:tcBorders>
          </w:tcPr>
          <w:p w14:paraId="2BE06AC1" w14:textId="77777777" w:rsidR="006D7910" w:rsidRDefault="006D7910" w:rsidP="006D7910">
            <w:pPr>
              <w:jc w:val="center"/>
              <w:rPr>
                <w:rFonts w:ascii="Arial" w:hAnsi="Arial" w:cs="Arial"/>
                <w:color w:val="000000"/>
                <w:sz w:val="22"/>
                <w:szCs w:val="22"/>
              </w:rPr>
            </w:pPr>
          </w:p>
        </w:tc>
        <w:tc>
          <w:tcPr>
            <w:tcW w:w="972" w:type="dxa"/>
            <w:tcBorders>
              <w:top w:val="single" w:sz="4" w:space="0" w:color="auto"/>
              <w:left w:val="single" w:sz="4" w:space="0" w:color="auto"/>
              <w:bottom w:val="single" w:sz="4" w:space="0" w:color="auto"/>
              <w:right w:val="single" w:sz="4" w:space="0" w:color="auto"/>
            </w:tcBorders>
          </w:tcPr>
          <w:p w14:paraId="5B6C3D76" w14:textId="59ABBAD7" w:rsidR="006D7910" w:rsidRPr="006D7910" w:rsidRDefault="006D7910" w:rsidP="006D7910">
            <w:pPr>
              <w:jc w:val="center"/>
              <w:rPr>
                <w:rFonts w:ascii="Arial" w:hAnsi="Arial" w:cs="Arial"/>
                <w:b/>
                <w:bCs/>
                <w:color w:val="000000"/>
                <w:sz w:val="22"/>
                <w:szCs w:val="22"/>
              </w:rPr>
            </w:pPr>
            <w:r w:rsidRPr="006D7910">
              <w:rPr>
                <w:rFonts w:ascii="Arial" w:hAnsi="Arial" w:cs="Arial"/>
                <w:b/>
                <w:bCs/>
                <w:color w:val="000000"/>
                <w:sz w:val="22"/>
                <w:szCs w:val="22"/>
              </w:rPr>
              <w:t>302</w:t>
            </w:r>
          </w:p>
        </w:tc>
        <w:tc>
          <w:tcPr>
            <w:tcW w:w="1316" w:type="dxa"/>
            <w:tcBorders>
              <w:top w:val="single" w:sz="4" w:space="0" w:color="auto"/>
              <w:left w:val="single" w:sz="4" w:space="0" w:color="auto"/>
              <w:bottom w:val="single" w:sz="4" w:space="0" w:color="auto"/>
              <w:right w:val="single" w:sz="4" w:space="0" w:color="auto"/>
            </w:tcBorders>
          </w:tcPr>
          <w:p w14:paraId="627EBF6B" w14:textId="5395BCB1" w:rsidR="006D7910" w:rsidRPr="006D7910" w:rsidRDefault="006D7910" w:rsidP="006D7910">
            <w:pPr>
              <w:jc w:val="center"/>
              <w:rPr>
                <w:rFonts w:ascii="Arial" w:hAnsi="Arial" w:cs="Arial"/>
                <w:b/>
                <w:bCs/>
                <w:color w:val="000000"/>
                <w:sz w:val="22"/>
                <w:szCs w:val="22"/>
              </w:rPr>
            </w:pPr>
            <w:r w:rsidRPr="006D7910">
              <w:rPr>
                <w:rFonts w:ascii="Arial" w:hAnsi="Arial" w:cs="Arial"/>
                <w:b/>
                <w:bCs/>
                <w:color w:val="000000"/>
                <w:sz w:val="22"/>
                <w:szCs w:val="22"/>
              </w:rPr>
              <w:t>250</w:t>
            </w:r>
          </w:p>
        </w:tc>
        <w:tc>
          <w:tcPr>
            <w:tcW w:w="1364" w:type="dxa"/>
            <w:tcBorders>
              <w:top w:val="single" w:sz="4" w:space="0" w:color="auto"/>
              <w:left w:val="single" w:sz="4" w:space="0" w:color="auto"/>
              <w:bottom w:val="single" w:sz="4" w:space="0" w:color="auto"/>
              <w:right w:val="single" w:sz="4" w:space="0" w:color="auto"/>
            </w:tcBorders>
          </w:tcPr>
          <w:p w14:paraId="338246C3" w14:textId="77777777" w:rsidR="006D7910" w:rsidRDefault="006D7910" w:rsidP="006D7910">
            <w:pPr>
              <w:jc w:val="center"/>
              <w:rPr>
                <w:rFonts w:ascii="Arial" w:hAnsi="Arial" w:cs="Arial"/>
                <w:color w:val="000000"/>
                <w:sz w:val="22"/>
                <w:szCs w:val="22"/>
              </w:rPr>
            </w:pPr>
          </w:p>
        </w:tc>
        <w:tc>
          <w:tcPr>
            <w:tcW w:w="1195" w:type="dxa"/>
            <w:tcBorders>
              <w:top w:val="single" w:sz="4" w:space="0" w:color="auto"/>
              <w:left w:val="single" w:sz="4" w:space="0" w:color="auto"/>
              <w:bottom w:val="single" w:sz="4" w:space="0" w:color="auto"/>
              <w:right w:val="single" w:sz="4" w:space="0" w:color="auto"/>
            </w:tcBorders>
            <w:vAlign w:val="center"/>
          </w:tcPr>
          <w:p w14:paraId="27E166FB" w14:textId="77777777" w:rsidR="006D7910" w:rsidRDefault="006D7910" w:rsidP="006D7910">
            <w:pPr>
              <w:jc w:val="center"/>
              <w:rPr>
                <w:rFonts w:ascii="Arial" w:hAnsi="Arial" w:cs="Arial"/>
                <w:color w:val="000000"/>
                <w:sz w:val="22"/>
                <w:szCs w:val="22"/>
              </w:rPr>
            </w:pPr>
          </w:p>
        </w:tc>
        <w:tc>
          <w:tcPr>
            <w:tcW w:w="998" w:type="dxa"/>
            <w:tcBorders>
              <w:top w:val="single" w:sz="4" w:space="0" w:color="auto"/>
              <w:left w:val="single" w:sz="4" w:space="0" w:color="auto"/>
              <w:bottom w:val="single" w:sz="4" w:space="0" w:color="auto"/>
              <w:right w:val="single" w:sz="4" w:space="0" w:color="auto"/>
            </w:tcBorders>
            <w:vAlign w:val="center"/>
          </w:tcPr>
          <w:p w14:paraId="0D38713F" w14:textId="77777777" w:rsidR="006D7910" w:rsidRDefault="006D7910" w:rsidP="006D7910">
            <w:pPr>
              <w:jc w:val="center"/>
              <w:rPr>
                <w:rFonts w:ascii="Arial" w:hAnsi="Arial" w:cs="Arial"/>
                <w:color w:val="000000"/>
                <w:sz w:val="22"/>
                <w:szCs w:val="22"/>
              </w:rPr>
            </w:pPr>
          </w:p>
        </w:tc>
      </w:tr>
    </w:tbl>
    <w:p w14:paraId="53C7F9D0" w14:textId="0AB46D78" w:rsidR="000065E0" w:rsidRDefault="000065E0" w:rsidP="003A0639">
      <w:pPr>
        <w:jc w:val="both"/>
        <w:rPr>
          <w:rFonts w:ascii="Arial" w:hAnsi="Arial" w:cs="Arial"/>
          <w:sz w:val="22"/>
          <w:szCs w:val="22"/>
          <w:highlight w:val="yellow"/>
        </w:rPr>
      </w:pPr>
    </w:p>
    <w:p w14:paraId="4CEABA1E" w14:textId="2CB6A433" w:rsidR="0028420E" w:rsidRDefault="005C3658" w:rsidP="003A0639">
      <w:pPr>
        <w:jc w:val="both"/>
        <w:rPr>
          <w:rFonts w:ascii="Arial" w:hAnsi="Arial" w:cs="Arial"/>
          <w:sz w:val="22"/>
          <w:szCs w:val="22"/>
        </w:rPr>
      </w:pPr>
      <w:r w:rsidRPr="009C1304">
        <w:rPr>
          <w:rFonts w:ascii="Arial" w:hAnsi="Arial" w:cs="Arial"/>
          <w:sz w:val="22"/>
          <w:szCs w:val="22"/>
        </w:rPr>
        <w:t>This project is aligned with the City’s efforts</w:t>
      </w:r>
      <w:r>
        <w:rPr>
          <w:rFonts w:ascii="Arial" w:hAnsi="Arial" w:cs="Arial"/>
          <w:sz w:val="22"/>
          <w:szCs w:val="22"/>
        </w:rPr>
        <w:t xml:space="preserve"> to invest in creating affordable housing opportunities for </w:t>
      </w:r>
      <w:r w:rsidR="00BF7916">
        <w:rPr>
          <w:rFonts w:ascii="Arial" w:hAnsi="Arial" w:cs="Arial"/>
          <w:sz w:val="22"/>
          <w:szCs w:val="22"/>
        </w:rPr>
        <w:t>homebuyers in</w:t>
      </w:r>
      <w:r w:rsidR="009C1304">
        <w:rPr>
          <w:rFonts w:ascii="Arial" w:hAnsi="Arial" w:cs="Arial"/>
          <w:sz w:val="22"/>
          <w:szCs w:val="22"/>
        </w:rPr>
        <w:t xml:space="preserve"> desirable neighborhoods throughout the city.</w:t>
      </w:r>
    </w:p>
    <w:p w14:paraId="21CF8AA8" w14:textId="320718C3" w:rsidR="009C1304" w:rsidRDefault="009C1304" w:rsidP="003A0639">
      <w:pPr>
        <w:jc w:val="both"/>
        <w:rPr>
          <w:rFonts w:ascii="Arial" w:hAnsi="Arial" w:cs="Arial"/>
          <w:sz w:val="22"/>
          <w:szCs w:val="22"/>
        </w:rPr>
      </w:pPr>
    </w:p>
    <w:p w14:paraId="554DC07D" w14:textId="13FB5F45" w:rsidR="009C1304" w:rsidRPr="009C1304" w:rsidRDefault="009C1304" w:rsidP="003A0639">
      <w:pPr>
        <w:jc w:val="both"/>
        <w:rPr>
          <w:rFonts w:ascii="Arial" w:hAnsi="Arial" w:cs="Arial"/>
          <w:b/>
          <w:bCs/>
        </w:rPr>
      </w:pPr>
      <w:r w:rsidRPr="009C1304">
        <w:rPr>
          <w:rFonts w:ascii="Arial" w:hAnsi="Arial" w:cs="Arial"/>
          <w:b/>
          <w:bCs/>
        </w:rPr>
        <w:t>Garver Gardens</w:t>
      </w:r>
    </w:p>
    <w:tbl>
      <w:tblPr>
        <w:tblW w:w="4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877"/>
      </w:tblGrid>
      <w:tr w:rsidR="00637C93" w14:paraId="39ED80F3" w14:textId="77777777" w:rsidTr="00637C93">
        <w:trPr>
          <w:trHeight w:val="432"/>
        </w:trPr>
        <w:tc>
          <w:tcPr>
            <w:tcW w:w="187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FCA322" w14:textId="485AEF45" w:rsidR="00637C93" w:rsidRPr="000B2877" w:rsidRDefault="00637C93" w:rsidP="00AB10E2">
            <w:pPr>
              <w:jc w:val="center"/>
              <w:rPr>
                <w:rFonts w:ascii="Arial" w:hAnsi="Arial" w:cs="Arial"/>
                <w:b/>
                <w:bCs/>
                <w:color w:val="000000"/>
                <w:sz w:val="22"/>
                <w:szCs w:val="22"/>
              </w:rPr>
            </w:pPr>
            <w:r>
              <w:rPr>
                <w:rFonts w:ascii="Arial" w:hAnsi="Arial" w:cs="Arial"/>
                <w:b/>
                <w:bCs/>
                <w:color w:val="000000"/>
                <w:sz w:val="22"/>
                <w:szCs w:val="22"/>
              </w:rPr>
              <w:t>Sources</w:t>
            </w:r>
          </w:p>
        </w:tc>
        <w:tc>
          <w:tcPr>
            <w:tcW w:w="2877" w:type="dxa"/>
            <w:tcBorders>
              <w:top w:val="single" w:sz="4" w:space="0" w:color="auto"/>
              <w:left w:val="single" w:sz="4" w:space="0" w:color="auto"/>
              <w:bottom w:val="single" w:sz="4" w:space="0" w:color="auto"/>
              <w:right w:val="single" w:sz="4" w:space="0" w:color="auto"/>
            </w:tcBorders>
            <w:shd w:val="clear" w:color="auto" w:fill="BFBFBF"/>
          </w:tcPr>
          <w:p w14:paraId="70965209" w14:textId="7604D046" w:rsidR="00637C93" w:rsidRDefault="00637C93" w:rsidP="00AB10E2">
            <w:pPr>
              <w:jc w:val="center"/>
              <w:rPr>
                <w:rFonts w:ascii="Arial" w:hAnsi="Arial" w:cs="Arial"/>
                <w:b/>
                <w:bCs/>
                <w:color w:val="000000"/>
                <w:sz w:val="22"/>
                <w:szCs w:val="22"/>
              </w:rPr>
            </w:pPr>
            <w:r>
              <w:rPr>
                <w:rFonts w:ascii="Arial" w:hAnsi="Arial" w:cs="Arial"/>
                <w:b/>
                <w:bCs/>
                <w:color w:val="000000"/>
                <w:sz w:val="22"/>
                <w:szCs w:val="22"/>
              </w:rPr>
              <w:t>Amount</w:t>
            </w:r>
          </w:p>
        </w:tc>
      </w:tr>
      <w:tr w:rsidR="00637C93" w14:paraId="19E6BDC1" w14:textId="77777777" w:rsidTr="00637C93">
        <w:trPr>
          <w:trHeight w:val="360"/>
        </w:trPr>
        <w:tc>
          <w:tcPr>
            <w:tcW w:w="1879" w:type="dxa"/>
            <w:tcBorders>
              <w:top w:val="single" w:sz="4" w:space="0" w:color="auto"/>
              <w:left w:val="single" w:sz="4" w:space="0" w:color="auto"/>
              <w:bottom w:val="single" w:sz="4" w:space="0" w:color="auto"/>
              <w:right w:val="single" w:sz="4" w:space="0" w:color="auto"/>
            </w:tcBorders>
            <w:vAlign w:val="center"/>
            <w:hideMark/>
          </w:tcPr>
          <w:p w14:paraId="6778C337" w14:textId="6BC36B54" w:rsidR="00637C93" w:rsidRPr="00773011" w:rsidRDefault="00637C93" w:rsidP="00AB10E2">
            <w:pPr>
              <w:rPr>
                <w:rFonts w:ascii="Arial" w:hAnsi="Arial" w:cs="Arial"/>
                <w:b/>
                <w:bCs/>
                <w:color w:val="000000"/>
                <w:sz w:val="22"/>
                <w:szCs w:val="22"/>
              </w:rPr>
            </w:pPr>
            <w:r w:rsidRPr="00773011">
              <w:rPr>
                <w:rFonts w:ascii="Arial" w:hAnsi="Arial" w:cs="Arial"/>
                <w:b/>
                <w:bCs/>
                <w:sz w:val="22"/>
                <w:szCs w:val="22"/>
              </w:rPr>
              <w:t>Uptown TIRZ – Series 2021 (Fund 2430)</w:t>
            </w:r>
          </w:p>
        </w:tc>
        <w:tc>
          <w:tcPr>
            <w:tcW w:w="2877" w:type="dxa"/>
            <w:tcBorders>
              <w:top w:val="single" w:sz="4" w:space="0" w:color="auto"/>
              <w:left w:val="single" w:sz="4" w:space="0" w:color="auto"/>
              <w:bottom w:val="single" w:sz="4" w:space="0" w:color="auto"/>
              <w:right w:val="single" w:sz="4" w:space="0" w:color="auto"/>
            </w:tcBorders>
            <w:vAlign w:val="center"/>
          </w:tcPr>
          <w:p w14:paraId="2B35F0A9" w14:textId="4870C1CB" w:rsidR="00637C93" w:rsidRDefault="00637C93" w:rsidP="00773011">
            <w:pPr>
              <w:jc w:val="center"/>
              <w:rPr>
                <w:rFonts w:ascii="Arial" w:hAnsi="Arial" w:cs="Arial"/>
                <w:color w:val="000000"/>
                <w:sz w:val="22"/>
                <w:szCs w:val="22"/>
              </w:rPr>
            </w:pPr>
            <w:r>
              <w:rPr>
                <w:rFonts w:ascii="Arial" w:hAnsi="Arial" w:cs="Arial"/>
                <w:color w:val="000000"/>
                <w:sz w:val="22"/>
                <w:szCs w:val="22"/>
              </w:rPr>
              <w:t>$1,063,435.97</w:t>
            </w:r>
          </w:p>
        </w:tc>
      </w:tr>
    </w:tbl>
    <w:p w14:paraId="4D47837A" w14:textId="63F7E3C5" w:rsidR="00916CCF" w:rsidRPr="004B4CE6" w:rsidRDefault="00916CCF" w:rsidP="003A0639">
      <w:pPr>
        <w:jc w:val="both"/>
        <w:rPr>
          <w:rFonts w:ascii="Arial" w:hAnsi="Arial" w:cs="Arial"/>
          <w:b/>
          <w:bCs/>
        </w:rPr>
      </w:pPr>
      <w:proofErr w:type="spellStart"/>
      <w:r w:rsidRPr="004B4CE6">
        <w:rPr>
          <w:rFonts w:ascii="Arial" w:hAnsi="Arial" w:cs="Arial"/>
          <w:b/>
          <w:bCs/>
        </w:rPr>
        <w:t>Zuri</w:t>
      </w:r>
      <w:proofErr w:type="spellEnd"/>
      <w:r w:rsidRPr="004B4CE6">
        <w:rPr>
          <w:rFonts w:ascii="Arial" w:hAnsi="Arial" w:cs="Arial"/>
          <w:b/>
          <w:bCs/>
        </w:rPr>
        <w:t xml:space="preserve"> Gardens (Tiny Homes)</w:t>
      </w:r>
    </w:p>
    <w:tbl>
      <w:tblPr>
        <w:tblW w:w="4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877"/>
      </w:tblGrid>
      <w:tr w:rsidR="00637C93" w14:paraId="457E314F" w14:textId="77777777" w:rsidTr="00637C93">
        <w:trPr>
          <w:trHeight w:val="360"/>
        </w:trPr>
        <w:tc>
          <w:tcPr>
            <w:tcW w:w="1879" w:type="dxa"/>
            <w:tcBorders>
              <w:top w:val="single" w:sz="4" w:space="0" w:color="auto"/>
              <w:left w:val="single" w:sz="4" w:space="0" w:color="auto"/>
              <w:bottom w:val="single" w:sz="4" w:space="0" w:color="auto"/>
              <w:right w:val="single" w:sz="4" w:space="0" w:color="auto"/>
            </w:tcBorders>
            <w:vAlign w:val="center"/>
            <w:hideMark/>
          </w:tcPr>
          <w:p w14:paraId="55AD4CF2" w14:textId="77777777" w:rsidR="00637C93" w:rsidRPr="00773011" w:rsidRDefault="00637C93" w:rsidP="00FC41E4">
            <w:pPr>
              <w:rPr>
                <w:rFonts w:ascii="Arial" w:hAnsi="Arial" w:cs="Arial"/>
                <w:b/>
                <w:bCs/>
                <w:color w:val="000000"/>
                <w:sz w:val="22"/>
                <w:szCs w:val="22"/>
              </w:rPr>
            </w:pPr>
            <w:r w:rsidRPr="00773011">
              <w:rPr>
                <w:rFonts w:ascii="Arial" w:hAnsi="Arial" w:cs="Arial"/>
                <w:b/>
                <w:bCs/>
                <w:sz w:val="22"/>
                <w:szCs w:val="22"/>
              </w:rPr>
              <w:t>Uptown TIRZ – Series 2021 (Fund 2430)</w:t>
            </w:r>
          </w:p>
        </w:tc>
        <w:tc>
          <w:tcPr>
            <w:tcW w:w="2877" w:type="dxa"/>
            <w:tcBorders>
              <w:top w:val="single" w:sz="4" w:space="0" w:color="auto"/>
              <w:left w:val="single" w:sz="4" w:space="0" w:color="auto"/>
              <w:bottom w:val="single" w:sz="4" w:space="0" w:color="auto"/>
              <w:right w:val="single" w:sz="4" w:space="0" w:color="auto"/>
            </w:tcBorders>
            <w:vAlign w:val="center"/>
          </w:tcPr>
          <w:p w14:paraId="746DB2B5" w14:textId="5EF437FD" w:rsidR="00637C93" w:rsidRDefault="00637C93" w:rsidP="00773011">
            <w:pPr>
              <w:jc w:val="center"/>
              <w:rPr>
                <w:rFonts w:ascii="Arial" w:hAnsi="Arial" w:cs="Arial"/>
                <w:color w:val="000000"/>
                <w:sz w:val="22"/>
                <w:szCs w:val="22"/>
              </w:rPr>
            </w:pPr>
            <w:r>
              <w:rPr>
                <w:rFonts w:ascii="Arial" w:hAnsi="Arial" w:cs="Arial"/>
                <w:color w:val="000000"/>
                <w:sz w:val="22"/>
                <w:szCs w:val="22"/>
              </w:rPr>
              <w:t>$1,836,564.03</w:t>
            </w:r>
          </w:p>
        </w:tc>
      </w:tr>
    </w:tbl>
    <w:p w14:paraId="0FCBC3C5" w14:textId="79B29276" w:rsidR="003C0335" w:rsidRPr="004B4CE6" w:rsidRDefault="003C0335" w:rsidP="003A0639">
      <w:pPr>
        <w:jc w:val="both"/>
        <w:rPr>
          <w:rFonts w:ascii="Arial" w:hAnsi="Arial" w:cs="Arial"/>
          <w:b/>
          <w:bCs/>
        </w:rPr>
      </w:pPr>
      <w:proofErr w:type="spellStart"/>
      <w:r w:rsidRPr="004B4CE6">
        <w:rPr>
          <w:rFonts w:ascii="Arial" w:hAnsi="Arial" w:cs="Arial"/>
          <w:b/>
          <w:bCs/>
        </w:rPr>
        <w:t>Tinera</w:t>
      </w:r>
      <w:proofErr w:type="spellEnd"/>
      <w:r w:rsidRPr="004B4CE6">
        <w:rPr>
          <w:rFonts w:ascii="Arial" w:hAnsi="Arial" w:cs="Arial"/>
          <w:b/>
          <w:bCs/>
        </w:rPr>
        <w:t xml:space="preserve"> Terrace</w:t>
      </w:r>
    </w:p>
    <w:tbl>
      <w:tblPr>
        <w:tblW w:w="4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2815"/>
      </w:tblGrid>
      <w:tr w:rsidR="00637C93" w14:paraId="7372DB34" w14:textId="77777777" w:rsidTr="00637C93">
        <w:trPr>
          <w:trHeight w:val="360"/>
        </w:trPr>
        <w:tc>
          <w:tcPr>
            <w:tcW w:w="1880" w:type="dxa"/>
            <w:tcBorders>
              <w:top w:val="single" w:sz="4" w:space="0" w:color="auto"/>
              <w:left w:val="single" w:sz="4" w:space="0" w:color="auto"/>
              <w:bottom w:val="single" w:sz="4" w:space="0" w:color="auto"/>
              <w:right w:val="single" w:sz="4" w:space="0" w:color="auto"/>
            </w:tcBorders>
            <w:vAlign w:val="center"/>
            <w:hideMark/>
          </w:tcPr>
          <w:p w14:paraId="7607B00E" w14:textId="77777777" w:rsidR="00637C93" w:rsidRPr="00773011" w:rsidRDefault="00637C93" w:rsidP="00FC41E4">
            <w:pPr>
              <w:rPr>
                <w:rFonts w:ascii="Arial" w:hAnsi="Arial" w:cs="Arial"/>
                <w:b/>
                <w:bCs/>
                <w:color w:val="000000"/>
                <w:sz w:val="22"/>
                <w:szCs w:val="22"/>
              </w:rPr>
            </w:pPr>
            <w:r w:rsidRPr="00773011">
              <w:rPr>
                <w:rFonts w:ascii="Arial" w:hAnsi="Arial" w:cs="Arial"/>
                <w:b/>
                <w:bCs/>
                <w:sz w:val="22"/>
                <w:szCs w:val="22"/>
              </w:rPr>
              <w:t>Uptown TIRZ – Series 2021 (Fund 2430)</w:t>
            </w:r>
          </w:p>
        </w:tc>
        <w:tc>
          <w:tcPr>
            <w:tcW w:w="2815" w:type="dxa"/>
            <w:tcBorders>
              <w:top w:val="single" w:sz="4" w:space="0" w:color="auto"/>
              <w:left w:val="single" w:sz="4" w:space="0" w:color="auto"/>
              <w:bottom w:val="single" w:sz="4" w:space="0" w:color="auto"/>
              <w:right w:val="single" w:sz="4" w:space="0" w:color="auto"/>
            </w:tcBorders>
            <w:vAlign w:val="center"/>
          </w:tcPr>
          <w:p w14:paraId="1FF9F7FB" w14:textId="5F94FF21" w:rsidR="00637C93" w:rsidRDefault="00637C93" w:rsidP="00773011">
            <w:pPr>
              <w:jc w:val="center"/>
              <w:rPr>
                <w:rFonts w:ascii="Arial" w:hAnsi="Arial" w:cs="Arial"/>
                <w:color w:val="000000"/>
                <w:sz w:val="22"/>
                <w:szCs w:val="22"/>
              </w:rPr>
            </w:pPr>
            <w:r>
              <w:rPr>
                <w:rFonts w:ascii="Arial" w:hAnsi="Arial" w:cs="Arial"/>
                <w:color w:val="000000"/>
                <w:sz w:val="22"/>
                <w:szCs w:val="22"/>
              </w:rPr>
              <w:t>$200,000.00</w:t>
            </w:r>
          </w:p>
        </w:tc>
      </w:tr>
      <w:tr w:rsidR="004B4CE6" w14:paraId="1A01FE80" w14:textId="77777777" w:rsidTr="00637C93">
        <w:trPr>
          <w:trHeight w:val="360"/>
        </w:trPr>
        <w:tc>
          <w:tcPr>
            <w:tcW w:w="1880" w:type="dxa"/>
            <w:tcBorders>
              <w:top w:val="single" w:sz="4" w:space="0" w:color="auto"/>
              <w:left w:val="single" w:sz="4" w:space="0" w:color="auto"/>
              <w:bottom w:val="single" w:sz="4" w:space="0" w:color="auto"/>
              <w:right w:val="single" w:sz="4" w:space="0" w:color="auto"/>
            </w:tcBorders>
            <w:vAlign w:val="center"/>
          </w:tcPr>
          <w:p w14:paraId="2A25F596" w14:textId="383FF57B" w:rsidR="004B4CE6" w:rsidRPr="00773011" w:rsidRDefault="004B4CE6" w:rsidP="00FC41E4">
            <w:pPr>
              <w:rPr>
                <w:rFonts w:ascii="Arial" w:hAnsi="Arial" w:cs="Arial"/>
                <w:b/>
                <w:bCs/>
                <w:sz w:val="22"/>
                <w:szCs w:val="22"/>
              </w:rPr>
            </w:pPr>
            <w:r>
              <w:rPr>
                <w:rFonts w:ascii="Arial" w:hAnsi="Arial" w:cs="Arial"/>
                <w:b/>
                <w:bCs/>
                <w:sz w:val="22"/>
                <w:szCs w:val="22"/>
              </w:rPr>
              <w:t>TOTAL</w:t>
            </w:r>
          </w:p>
        </w:tc>
        <w:tc>
          <w:tcPr>
            <w:tcW w:w="2815" w:type="dxa"/>
            <w:tcBorders>
              <w:top w:val="single" w:sz="4" w:space="0" w:color="auto"/>
              <w:left w:val="single" w:sz="4" w:space="0" w:color="auto"/>
              <w:bottom w:val="single" w:sz="4" w:space="0" w:color="auto"/>
              <w:right w:val="single" w:sz="4" w:space="0" w:color="auto"/>
            </w:tcBorders>
            <w:vAlign w:val="center"/>
          </w:tcPr>
          <w:p w14:paraId="0D4B3A23" w14:textId="1570741F" w:rsidR="004B4CE6" w:rsidRDefault="004B4CE6" w:rsidP="00773011">
            <w:pPr>
              <w:jc w:val="center"/>
              <w:rPr>
                <w:rFonts w:ascii="Arial" w:hAnsi="Arial" w:cs="Arial"/>
                <w:color w:val="000000"/>
                <w:sz w:val="22"/>
                <w:szCs w:val="22"/>
              </w:rPr>
            </w:pPr>
            <w:r>
              <w:rPr>
                <w:rFonts w:ascii="Arial" w:hAnsi="Arial" w:cs="Arial"/>
                <w:color w:val="000000"/>
                <w:sz w:val="22"/>
                <w:szCs w:val="22"/>
              </w:rPr>
              <w:t>$3,100,000.00</w:t>
            </w:r>
          </w:p>
        </w:tc>
      </w:tr>
    </w:tbl>
    <w:p w14:paraId="35A53483" w14:textId="77777777" w:rsidR="003C0335" w:rsidRDefault="003C0335" w:rsidP="003A0639">
      <w:pPr>
        <w:jc w:val="both"/>
        <w:rPr>
          <w:rFonts w:ascii="Arial" w:hAnsi="Arial" w:cs="Arial"/>
          <w:sz w:val="22"/>
          <w:szCs w:val="22"/>
        </w:rPr>
      </w:pPr>
    </w:p>
    <w:p w14:paraId="01D8A22E" w14:textId="60BF0B5C" w:rsidR="002A2E7F" w:rsidRDefault="002A2E7F" w:rsidP="00A41207">
      <w:pPr>
        <w:jc w:val="both"/>
        <w:rPr>
          <w:rFonts w:ascii="Arial" w:hAnsi="Arial" w:cs="Arial"/>
          <w:sz w:val="22"/>
          <w:szCs w:val="22"/>
        </w:rPr>
      </w:pPr>
    </w:p>
    <w:p w14:paraId="71C31A80" w14:textId="77777777" w:rsidR="00EA4E6E" w:rsidRDefault="00EA4E6E" w:rsidP="00A41207">
      <w:pPr>
        <w:jc w:val="both"/>
        <w:rPr>
          <w:rFonts w:ascii="Arial" w:hAnsi="Arial" w:cs="Arial"/>
          <w:sz w:val="22"/>
          <w:szCs w:val="22"/>
        </w:rPr>
      </w:pPr>
    </w:p>
    <w:p w14:paraId="7EA38FFE" w14:textId="25686296" w:rsidR="00EA4E6E" w:rsidRDefault="005D3B79" w:rsidP="00A41207">
      <w:pPr>
        <w:jc w:val="both"/>
        <w:rPr>
          <w:rFonts w:ascii="Arial" w:hAnsi="Arial" w:cs="Arial"/>
          <w:sz w:val="22"/>
          <w:szCs w:val="22"/>
        </w:rPr>
      </w:pPr>
      <w:r w:rsidRPr="005D3B79">
        <w:rPr>
          <w:rFonts w:ascii="Arial" w:hAnsi="Arial" w:cs="Arial"/>
          <w:sz w:val="22"/>
          <w:szCs w:val="22"/>
        </w:rPr>
        <w:lastRenderedPageBreak/>
        <w:t xml:space="preserve">The public has </w:t>
      </w:r>
      <w:r w:rsidR="00B14786">
        <w:rPr>
          <w:rFonts w:ascii="Arial" w:hAnsi="Arial" w:cs="Arial"/>
          <w:sz w:val="22"/>
          <w:szCs w:val="22"/>
        </w:rPr>
        <w:t>Seven (7</w:t>
      </w:r>
      <w:r w:rsidRPr="005D3B79">
        <w:rPr>
          <w:rFonts w:ascii="Arial" w:hAnsi="Arial" w:cs="Arial"/>
          <w:sz w:val="22"/>
          <w:szCs w:val="22"/>
        </w:rPr>
        <w:t xml:space="preserve">) days to comment on the proposed item. The </w:t>
      </w:r>
      <w:r w:rsidR="00B14786">
        <w:rPr>
          <w:rFonts w:ascii="Arial" w:hAnsi="Arial" w:cs="Arial"/>
          <w:sz w:val="22"/>
          <w:szCs w:val="22"/>
        </w:rPr>
        <w:t>seven</w:t>
      </w:r>
      <w:r w:rsidRPr="005D3B79">
        <w:rPr>
          <w:rFonts w:ascii="Arial" w:hAnsi="Arial" w:cs="Arial"/>
          <w:sz w:val="22"/>
          <w:szCs w:val="22"/>
        </w:rPr>
        <w:t xml:space="preserve">-day period extends from </w:t>
      </w:r>
      <w:r w:rsidR="00D55FD1">
        <w:rPr>
          <w:rFonts w:ascii="Arial" w:hAnsi="Arial" w:cs="Arial"/>
          <w:sz w:val="22"/>
          <w:szCs w:val="22"/>
        </w:rPr>
        <w:t>Monday</w:t>
      </w:r>
      <w:r w:rsidRPr="005D3B79">
        <w:rPr>
          <w:rFonts w:ascii="Arial" w:hAnsi="Arial" w:cs="Arial"/>
          <w:sz w:val="22"/>
          <w:szCs w:val="22"/>
        </w:rPr>
        <w:t xml:space="preserve">, April </w:t>
      </w:r>
      <w:r w:rsidR="00D55FD1">
        <w:rPr>
          <w:rFonts w:ascii="Arial" w:hAnsi="Arial" w:cs="Arial"/>
          <w:sz w:val="22"/>
          <w:szCs w:val="22"/>
        </w:rPr>
        <w:t>24</w:t>
      </w:r>
      <w:r w:rsidRPr="005D3B79">
        <w:rPr>
          <w:rFonts w:ascii="Arial" w:hAnsi="Arial" w:cs="Arial"/>
          <w:sz w:val="22"/>
          <w:szCs w:val="22"/>
        </w:rPr>
        <w:t xml:space="preserve">, 2023, through </w:t>
      </w:r>
      <w:r w:rsidR="00D55FD1">
        <w:rPr>
          <w:rFonts w:ascii="Arial" w:hAnsi="Arial" w:cs="Arial"/>
          <w:sz w:val="22"/>
          <w:szCs w:val="22"/>
        </w:rPr>
        <w:t>Monday</w:t>
      </w:r>
      <w:r w:rsidRPr="005D3B79">
        <w:rPr>
          <w:rFonts w:ascii="Arial" w:hAnsi="Arial" w:cs="Arial"/>
          <w:sz w:val="22"/>
          <w:szCs w:val="22"/>
        </w:rPr>
        <w:t xml:space="preserve">, </w:t>
      </w:r>
      <w:r w:rsidR="00B50213">
        <w:rPr>
          <w:rFonts w:ascii="Arial" w:hAnsi="Arial" w:cs="Arial"/>
          <w:sz w:val="22"/>
          <w:szCs w:val="22"/>
        </w:rPr>
        <w:t>May 1</w:t>
      </w:r>
      <w:r w:rsidRPr="005D3B79">
        <w:rPr>
          <w:rFonts w:ascii="Arial" w:hAnsi="Arial" w:cs="Arial"/>
          <w:sz w:val="22"/>
          <w:szCs w:val="22"/>
        </w:rPr>
        <w:t xml:space="preserve">, 2023. Upon completion of the </w:t>
      </w:r>
      <w:r w:rsidR="00B14786">
        <w:rPr>
          <w:rFonts w:ascii="Arial" w:hAnsi="Arial" w:cs="Arial"/>
          <w:sz w:val="22"/>
          <w:szCs w:val="22"/>
        </w:rPr>
        <w:t>7</w:t>
      </w:r>
      <w:r w:rsidRPr="005D3B79">
        <w:rPr>
          <w:rFonts w:ascii="Arial" w:hAnsi="Arial" w:cs="Arial"/>
          <w:sz w:val="22"/>
          <w:szCs w:val="22"/>
        </w:rPr>
        <w:t>-day public comment period, HCDD will take the item to City Council.</w:t>
      </w:r>
    </w:p>
    <w:p w14:paraId="65683526" w14:textId="77777777" w:rsidR="005D3B79" w:rsidRDefault="005D3B79" w:rsidP="00A41207">
      <w:pPr>
        <w:jc w:val="both"/>
        <w:rPr>
          <w:rFonts w:ascii="Arial" w:hAnsi="Arial" w:cs="Arial"/>
          <w:sz w:val="22"/>
          <w:szCs w:val="22"/>
        </w:rPr>
      </w:pPr>
    </w:p>
    <w:p w14:paraId="7B9BCA2C" w14:textId="2905FA83" w:rsidR="00A41207" w:rsidRPr="00EA4E6E" w:rsidRDefault="00A41207" w:rsidP="00A41207">
      <w:pPr>
        <w:jc w:val="both"/>
        <w:rPr>
          <w:rFonts w:ascii="Arial" w:hAnsi="Arial" w:cs="Arial"/>
          <w:sz w:val="22"/>
          <w:szCs w:val="22"/>
        </w:rPr>
      </w:pPr>
      <w:r w:rsidRPr="00EA4E6E">
        <w:rPr>
          <w:rFonts w:ascii="Arial" w:hAnsi="Arial" w:cs="Arial"/>
          <w:sz w:val="22"/>
          <w:szCs w:val="22"/>
        </w:rPr>
        <w:t xml:space="preserve">For additional information on these items, contact </w:t>
      </w:r>
      <w:proofErr w:type="spellStart"/>
      <w:r w:rsidR="00AD7535" w:rsidRPr="00EA4E6E">
        <w:rPr>
          <w:rFonts w:ascii="Arial" w:hAnsi="Arial" w:cs="Arial"/>
          <w:sz w:val="22"/>
          <w:szCs w:val="22"/>
        </w:rPr>
        <w:t>Metchm</w:t>
      </w:r>
      <w:proofErr w:type="spellEnd"/>
      <w:r w:rsidR="00AD7535" w:rsidRPr="00EA4E6E">
        <w:rPr>
          <w:rFonts w:ascii="Arial" w:hAnsi="Arial" w:cs="Arial"/>
          <w:sz w:val="22"/>
          <w:szCs w:val="22"/>
        </w:rPr>
        <w:t xml:space="preserve"> Lohoues-Washington</w:t>
      </w:r>
      <w:r w:rsidRPr="00EA4E6E">
        <w:rPr>
          <w:rFonts w:ascii="Arial" w:hAnsi="Arial" w:cs="Arial"/>
          <w:sz w:val="22"/>
          <w:szCs w:val="22"/>
        </w:rPr>
        <w:t xml:space="preserve"> at (832) 394-61</w:t>
      </w:r>
      <w:r w:rsidR="00AD7535" w:rsidRPr="00EA4E6E">
        <w:rPr>
          <w:rFonts w:ascii="Arial" w:hAnsi="Arial" w:cs="Arial"/>
          <w:sz w:val="22"/>
          <w:szCs w:val="22"/>
        </w:rPr>
        <w:t>80</w:t>
      </w:r>
      <w:r w:rsidRPr="00EA4E6E">
        <w:rPr>
          <w:rFonts w:ascii="Arial" w:hAnsi="Arial" w:cs="Arial"/>
          <w:sz w:val="22"/>
          <w:szCs w:val="22"/>
        </w:rPr>
        <w:t xml:space="preserve">. Written comments can be submitted by email to </w:t>
      </w:r>
      <w:r w:rsidR="00AD7535" w:rsidRPr="00EA4E6E">
        <w:rPr>
          <w:rFonts w:ascii="Arial" w:hAnsi="Arial" w:cs="Arial"/>
          <w:sz w:val="22"/>
          <w:szCs w:val="22"/>
        </w:rPr>
        <w:t>anne.lohoues-washington@houstontx.gov</w:t>
      </w:r>
      <w:r w:rsidRPr="00EA4E6E">
        <w:rPr>
          <w:rFonts w:ascii="Arial" w:hAnsi="Arial" w:cs="Arial"/>
          <w:sz w:val="22"/>
          <w:szCs w:val="22"/>
        </w:rPr>
        <w:t>.</w:t>
      </w:r>
    </w:p>
    <w:p w14:paraId="37644801" w14:textId="77777777" w:rsidR="003A0639" w:rsidRPr="00EA4E6E" w:rsidRDefault="003A0639" w:rsidP="003A0639">
      <w:pPr>
        <w:jc w:val="both"/>
        <w:rPr>
          <w:rFonts w:ascii="Arial" w:hAnsi="Arial" w:cs="Arial"/>
          <w:sz w:val="22"/>
          <w:szCs w:val="22"/>
        </w:rPr>
      </w:pPr>
    </w:p>
    <w:p w14:paraId="24B521A1" w14:textId="77777777" w:rsidR="00EA4E6E" w:rsidRPr="001B74FE" w:rsidRDefault="00EA4E6E" w:rsidP="00EA4E6E">
      <w:pPr>
        <w:jc w:val="both"/>
        <w:rPr>
          <w:rFonts w:ascii="Arial" w:hAnsi="Arial" w:cs="Arial"/>
          <w:sz w:val="22"/>
          <w:szCs w:val="22"/>
        </w:rPr>
      </w:pPr>
      <w:r w:rsidRPr="00EA4E6E">
        <w:rPr>
          <w:rFonts w:ascii="Arial" w:hAnsi="Arial" w:cs="Arial"/>
          <w:sz w:val="22"/>
          <w:szCs w:val="22"/>
        </w:rPr>
        <w:t>For specific questions or concerns about fair housing or landlord/tenant relations, please contact</w:t>
      </w:r>
      <w:r w:rsidRPr="001B74FE">
        <w:rPr>
          <w:rFonts w:ascii="Arial" w:hAnsi="Arial" w:cs="Arial"/>
          <w:sz w:val="22"/>
          <w:szCs w:val="22"/>
        </w:rPr>
        <w:t xml:space="preserve"> Yolanda Guess-Jeffries at (832) 394-6200 </w:t>
      </w:r>
      <w:proofErr w:type="spellStart"/>
      <w:r w:rsidRPr="001B74FE">
        <w:rPr>
          <w:rFonts w:ascii="Arial" w:hAnsi="Arial" w:cs="Arial"/>
          <w:sz w:val="22"/>
          <w:szCs w:val="22"/>
        </w:rPr>
        <w:t>ext</w:t>
      </w:r>
      <w:proofErr w:type="spellEnd"/>
      <w:r w:rsidRPr="001B74FE">
        <w:rPr>
          <w:rFonts w:ascii="Arial" w:hAnsi="Arial" w:cs="Arial"/>
          <w:sz w:val="22"/>
          <w:szCs w:val="22"/>
        </w:rPr>
        <w:t xml:space="preserve"> 5. For any information about our Complaints and Appeals Process, please access the following: https://houstontx.gov/housing/complaints.html and https://houstontx.gov/housing/appeals.html.  For more information about HCDD and its programs, please access HCDD’s website at www.houstontx.gov/housing.</w:t>
      </w:r>
    </w:p>
    <w:p w14:paraId="19060358" w14:textId="77777777" w:rsidR="003A0639" w:rsidRDefault="003A0639" w:rsidP="003A0639"/>
    <w:bookmarkEnd w:id="0"/>
    <w:p w14:paraId="3C194E29" w14:textId="77777777" w:rsidR="00E44DE8" w:rsidRDefault="00E44DE8"/>
    <w:sectPr w:rsidR="00E44DE8" w:rsidSect="004B4CE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E08F6"/>
    <w:multiLevelType w:val="hybridMultilevel"/>
    <w:tmpl w:val="EACE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33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DC"/>
    <w:rsid w:val="00002EC2"/>
    <w:rsid w:val="000054B2"/>
    <w:rsid w:val="000065E0"/>
    <w:rsid w:val="0001007B"/>
    <w:rsid w:val="0001255F"/>
    <w:rsid w:val="000170EA"/>
    <w:rsid w:val="00021974"/>
    <w:rsid w:val="00023313"/>
    <w:rsid w:val="00030114"/>
    <w:rsid w:val="000326EB"/>
    <w:rsid w:val="00042345"/>
    <w:rsid w:val="0004615D"/>
    <w:rsid w:val="00053616"/>
    <w:rsid w:val="00070143"/>
    <w:rsid w:val="00084B5A"/>
    <w:rsid w:val="00090C0A"/>
    <w:rsid w:val="000953CE"/>
    <w:rsid w:val="00096170"/>
    <w:rsid w:val="000A200C"/>
    <w:rsid w:val="000A4E79"/>
    <w:rsid w:val="000A6989"/>
    <w:rsid w:val="000B2877"/>
    <w:rsid w:val="000B535B"/>
    <w:rsid w:val="000D0627"/>
    <w:rsid w:val="000F0EAE"/>
    <w:rsid w:val="001056EC"/>
    <w:rsid w:val="00105AE8"/>
    <w:rsid w:val="00116579"/>
    <w:rsid w:val="00117454"/>
    <w:rsid w:val="001210E9"/>
    <w:rsid w:val="00124D8D"/>
    <w:rsid w:val="00125FFA"/>
    <w:rsid w:val="00130FB8"/>
    <w:rsid w:val="001326D1"/>
    <w:rsid w:val="00136525"/>
    <w:rsid w:val="00152508"/>
    <w:rsid w:val="00152F3F"/>
    <w:rsid w:val="00155EAF"/>
    <w:rsid w:val="00156C49"/>
    <w:rsid w:val="001738CC"/>
    <w:rsid w:val="0018799B"/>
    <w:rsid w:val="00191714"/>
    <w:rsid w:val="001957D2"/>
    <w:rsid w:val="001A030A"/>
    <w:rsid w:val="001A197B"/>
    <w:rsid w:val="001A438D"/>
    <w:rsid w:val="001A47BB"/>
    <w:rsid w:val="001B20FD"/>
    <w:rsid w:val="001B525F"/>
    <w:rsid w:val="001C4168"/>
    <w:rsid w:val="001C4EE8"/>
    <w:rsid w:val="001F1120"/>
    <w:rsid w:val="001F2FF4"/>
    <w:rsid w:val="00201789"/>
    <w:rsid w:val="0020589E"/>
    <w:rsid w:val="00211B1C"/>
    <w:rsid w:val="0022338D"/>
    <w:rsid w:val="00252BA9"/>
    <w:rsid w:val="00254AD6"/>
    <w:rsid w:val="00257374"/>
    <w:rsid w:val="0025738C"/>
    <w:rsid w:val="00262754"/>
    <w:rsid w:val="00270877"/>
    <w:rsid w:val="002729F2"/>
    <w:rsid w:val="002763F9"/>
    <w:rsid w:val="0028420E"/>
    <w:rsid w:val="0029205F"/>
    <w:rsid w:val="00296B89"/>
    <w:rsid w:val="00297240"/>
    <w:rsid w:val="002A2E7F"/>
    <w:rsid w:val="002A73FA"/>
    <w:rsid w:val="002B7A9B"/>
    <w:rsid w:val="002C12E2"/>
    <w:rsid w:val="002C23DC"/>
    <w:rsid w:val="002C26AB"/>
    <w:rsid w:val="002D4C6C"/>
    <w:rsid w:val="002E1191"/>
    <w:rsid w:val="002E4D13"/>
    <w:rsid w:val="002F21D5"/>
    <w:rsid w:val="002F421E"/>
    <w:rsid w:val="002F501D"/>
    <w:rsid w:val="0030434D"/>
    <w:rsid w:val="00305247"/>
    <w:rsid w:val="003152D5"/>
    <w:rsid w:val="003160B6"/>
    <w:rsid w:val="00327159"/>
    <w:rsid w:val="00355154"/>
    <w:rsid w:val="00357385"/>
    <w:rsid w:val="003665BB"/>
    <w:rsid w:val="003726D5"/>
    <w:rsid w:val="0037633B"/>
    <w:rsid w:val="00380CCC"/>
    <w:rsid w:val="0038142E"/>
    <w:rsid w:val="00384D29"/>
    <w:rsid w:val="00385CF7"/>
    <w:rsid w:val="00387A91"/>
    <w:rsid w:val="00391114"/>
    <w:rsid w:val="0039203D"/>
    <w:rsid w:val="003953CD"/>
    <w:rsid w:val="0039759D"/>
    <w:rsid w:val="003A0639"/>
    <w:rsid w:val="003A2F46"/>
    <w:rsid w:val="003A4559"/>
    <w:rsid w:val="003C0335"/>
    <w:rsid w:val="003C5A11"/>
    <w:rsid w:val="003D174B"/>
    <w:rsid w:val="003D44E7"/>
    <w:rsid w:val="003D50A7"/>
    <w:rsid w:val="003F674D"/>
    <w:rsid w:val="003F7500"/>
    <w:rsid w:val="00403F93"/>
    <w:rsid w:val="00433A36"/>
    <w:rsid w:val="00433D1C"/>
    <w:rsid w:val="00435CC5"/>
    <w:rsid w:val="00446025"/>
    <w:rsid w:val="00461AB5"/>
    <w:rsid w:val="00477C65"/>
    <w:rsid w:val="00486A91"/>
    <w:rsid w:val="004A4603"/>
    <w:rsid w:val="004B1AAB"/>
    <w:rsid w:val="004B200E"/>
    <w:rsid w:val="004B2684"/>
    <w:rsid w:val="004B34EF"/>
    <w:rsid w:val="004B4CE6"/>
    <w:rsid w:val="004B7D6B"/>
    <w:rsid w:val="004C1DC6"/>
    <w:rsid w:val="004C2887"/>
    <w:rsid w:val="004E15EE"/>
    <w:rsid w:val="004E31E7"/>
    <w:rsid w:val="004F045B"/>
    <w:rsid w:val="004F7FE6"/>
    <w:rsid w:val="00500BFD"/>
    <w:rsid w:val="00501A44"/>
    <w:rsid w:val="00505575"/>
    <w:rsid w:val="005074A5"/>
    <w:rsid w:val="005149E7"/>
    <w:rsid w:val="0051574A"/>
    <w:rsid w:val="0051689F"/>
    <w:rsid w:val="005303D2"/>
    <w:rsid w:val="00540C05"/>
    <w:rsid w:val="0054402F"/>
    <w:rsid w:val="00544CC0"/>
    <w:rsid w:val="005662BA"/>
    <w:rsid w:val="00572D43"/>
    <w:rsid w:val="00573206"/>
    <w:rsid w:val="00577CC3"/>
    <w:rsid w:val="005A09BC"/>
    <w:rsid w:val="005A65B4"/>
    <w:rsid w:val="005A7AF2"/>
    <w:rsid w:val="005B5976"/>
    <w:rsid w:val="005B6158"/>
    <w:rsid w:val="005B7406"/>
    <w:rsid w:val="005C3658"/>
    <w:rsid w:val="005D17D1"/>
    <w:rsid w:val="005D3B79"/>
    <w:rsid w:val="005E777C"/>
    <w:rsid w:val="005F6AB2"/>
    <w:rsid w:val="005F732C"/>
    <w:rsid w:val="00603AEE"/>
    <w:rsid w:val="006149A4"/>
    <w:rsid w:val="00626EAB"/>
    <w:rsid w:val="00627E1D"/>
    <w:rsid w:val="00627EC7"/>
    <w:rsid w:val="00630E0E"/>
    <w:rsid w:val="00637C93"/>
    <w:rsid w:val="00644BFF"/>
    <w:rsid w:val="00652524"/>
    <w:rsid w:val="00654023"/>
    <w:rsid w:val="00655304"/>
    <w:rsid w:val="00661CAC"/>
    <w:rsid w:val="00667C9C"/>
    <w:rsid w:val="00681DE6"/>
    <w:rsid w:val="00683543"/>
    <w:rsid w:val="00685AC6"/>
    <w:rsid w:val="00685C50"/>
    <w:rsid w:val="00691831"/>
    <w:rsid w:val="00692830"/>
    <w:rsid w:val="006A042E"/>
    <w:rsid w:val="006A0495"/>
    <w:rsid w:val="006A710C"/>
    <w:rsid w:val="006B1106"/>
    <w:rsid w:val="006B1306"/>
    <w:rsid w:val="006B3EB9"/>
    <w:rsid w:val="006B4154"/>
    <w:rsid w:val="006B58E6"/>
    <w:rsid w:val="006B6EBC"/>
    <w:rsid w:val="006D634A"/>
    <w:rsid w:val="006D7910"/>
    <w:rsid w:val="006E1C95"/>
    <w:rsid w:val="006E601D"/>
    <w:rsid w:val="00703D6A"/>
    <w:rsid w:val="00712C3B"/>
    <w:rsid w:val="007178EC"/>
    <w:rsid w:val="007304D5"/>
    <w:rsid w:val="007312FB"/>
    <w:rsid w:val="00753228"/>
    <w:rsid w:val="00753460"/>
    <w:rsid w:val="007546DB"/>
    <w:rsid w:val="00755CA0"/>
    <w:rsid w:val="0076018A"/>
    <w:rsid w:val="00763062"/>
    <w:rsid w:val="0076461E"/>
    <w:rsid w:val="00773011"/>
    <w:rsid w:val="00780BE2"/>
    <w:rsid w:val="00781460"/>
    <w:rsid w:val="00783DE4"/>
    <w:rsid w:val="00783E0B"/>
    <w:rsid w:val="0078463E"/>
    <w:rsid w:val="0078551C"/>
    <w:rsid w:val="00786D7D"/>
    <w:rsid w:val="00790316"/>
    <w:rsid w:val="00790B78"/>
    <w:rsid w:val="00792AD6"/>
    <w:rsid w:val="007948C9"/>
    <w:rsid w:val="007A08CE"/>
    <w:rsid w:val="007A257B"/>
    <w:rsid w:val="007A2F98"/>
    <w:rsid w:val="007A5911"/>
    <w:rsid w:val="007A7EFE"/>
    <w:rsid w:val="007B733C"/>
    <w:rsid w:val="007D3534"/>
    <w:rsid w:val="007D48A0"/>
    <w:rsid w:val="007E760C"/>
    <w:rsid w:val="007F55DC"/>
    <w:rsid w:val="008024CD"/>
    <w:rsid w:val="00832790"/>
    <w:rsid w:val="00837F6A"/>
    <w:rsid w:val="0084305A"/>
    <w:rsid w:val="0085469A"/>
    <w:rsid w:val="0085584B"/>
    <w:rsid w:val="0086572A"/>
    <w:rsid w:val="008823DA"/>
    <w:rsid w:val="00882AB5"/>
    <w:rsid w:val="00897644"/>
    <w:rsid w:val="008B15A8"/>
    <w:rsid w:val="008B237A"/>
    <w:rsid w:val="008D3E98"/>
    <w:rsid w:val="008E2C72"/>
    <w:rsid w:val="008F12F0"/>
    <w:rsid w:val="008F1EF5"/>
    <w:rsid w:val="008F7480"/>
    <w:rsid w:val="00913CE6"/>
    <w:rsid w:val="00914C37"/>
    <w:rsid w:val="00916CCF"/>
    <w:rsid w:val="00917720"/>
    <w:rsid w:val="00924CB3"/>
    <w:rsid w:val="00932BAD"/>
    <w:rsid w:val="00935ABD"/>
    <w:rsid w:val="009376F8"/>
    <w:rsid w:val="00937B5B"/>
    <w:rsid w:val="00942118"/>
    <w:rsid w:val="00943C57"/>
    <w:rsid w:val="00943E50"/>
    <w:rsid w:val="0094682C"/>
    <w:rsid w:val="00952699"/>
    <w:rsid w:val="00964F19"/>
    <w:rsid w:val="00972C38"/>
    <w:rsid w:val="00975C72"/>
    <w:rsid w:val="009A0242"/>
    <w:rsid w:val="009A1E18"/>
    <w:rsid w:val="009A25E7"/>
    <w:rsid w:val="009A3696"/>
    <w:rsid w:val="009B25B1"/>
    <w:rsid w:val="009C0225"/>
    <w:rsid w:val="009C1304"/>
    <w:rsid w:val="009C1367"/>
    <w:rsid w:val="009C331E"/>
    <w:rsid w:val="009D008C"/>
    <w:rsid w:val="009F164C"/>
    <w:rsid w:val="009F39C0"/>
    <w:rsid w:val="00A01BC9"/>
    <w:rsid w:val="00A100A2"/>
    <w:rsid w:val="00A16CBA"/>
    <w:rsid w:val="00A23508"/>
    <w:rsid w:val="00A26ECE"/>
    <w:rsid w:val="00A32FA7"/>
    <w:rsid w:val="00A347EE"/>
    <w:rsid w:val="00A41207"/>
    <w:rsid w:val="00A427AD"/>
    <w:rsid w:val="00A42945"/>
    <w:rsid w:val="00A43FB8"/>
    <w:rsid w:val="00A57C0B"/>
    <w:rsid w:val="00A6674A"/>
    <w:rsid w:val="00A72984"/>
    <w:rsid w:val="00A72B8A"/>
    <w:rsid w:val="00A81E6B"/>
    <w:rsid w:val="00A831D2"/>
    <w:rsid w:val="00A87A6B"/>
    <w:rsid w:val="00A924CA"/>
    <w:rsid w:val="00A92B67"/>
    <w:rsid w:val="00A93654"/>
    <w:rsid w:val="00AA3DF1"/>
    <w:rsid w:val="00AA67BA"/>
    <w:rsid w:val="00AB6C4A"/>
    <w:rsid w:val="00AD7535"/>
    <w:rsid w:val="00AF0B21"/>
    <w:rsid w:val="00AF3D57"/>
    <w:rsid w:val="00B01B57"/>
    <w:rsid w:val="00B01C34"/>
    <w:rsid w:val="00B021DD"/>
    <w:rsid w:val="00B078D2"/>
    <w:rsid w:val="00B13E33"/>
    <w:rsid w:val="00B14786"/>
    <w:rsid w:val="00B2535A"/>
    <w:rsid w:val="00B43660"/>
    <w:rsid w:val="00B50213"/>
    <w:rsid w:val="00B52FBF"/>
    <w:rsid w:val="00B54E06"/>
    <w:rsid w:val="00B568CC"/>
    <w:rsid w:val="00B64FEC"/>
    <w:rsid w:val="00B84CBE"/>
    <w:rsid w:val="00B8538F"/>
    <w:rsid w:val="00B867AC"/>
    <w:rsid w:val="00B94FD6"/>
    <w:rsid w:val="00BA17D3"/>
    <w:rsid w:val="00BA6D7A"/>
    <w:rsid w:val="00BB35CD"/>
    <w:rsid w:val="00BB557C"/>
    <w:rsid w:val="00BB750F"/>
    <w:rsid w:val="00BC0668"/>
    <w:rsid w:val="00BC5FA7"/>
    <w:rsid w:val="00BD0059"/>
    <w:rsid w:val="00BD52B5"/>
    <w:rsid w:val="00BE4605"/>
    <w:rsid w:val="00BF0AEA"/>
    <w:rsid w:val="00BF7916"/>
    <w:rsid w:val="00C021F3"/>
    <w:rsid w:val="00C02E84"/>
    <w:rsid w:val="00C15DC5"/>
    <w:rsid w:val="00C26159"/>
    <w:rsid w:val="00C30B2D"/>
    <w:rsid w:val="00C33C22"/>
    <w:rsid w:val="00C52070"/>
    <w:rsid w:val="00C52FD8"/>
    <w:rsid w:val="00C5448B"/>
    <w:rsid w:val="00C556AE"/>
    <w:rsid w:val="00C5711D"/>
    <w:rsid w:val="00C60286"/>
    <w:rsid w:val="00C62426"/>
    <w:rsid w:val="00C62A58"/>
    <w:rsid w:val="00C662CC"/>
    <w:rsid w:val="00C715E1"/>
    <w:rsid w:val="00C97F1C"/>
    <w:rsid w:val="00CA1E59"/>
    <w:rsid w:val="00CA4137"/>
    <w:rsid w:val="00CB0AED"/>
    <w:rsid w:val="00CB4D9A"/>
    <w:rsid w:val="00CB7066"/>
    <w:rsid w:val="00CD3DA1"/>
    <w:rsid w:val="00CE0AC7"/>
    <w:rsid w:val="00CE5FFD"/>
    <w:rsid w:val="00CE6D2B"/>
    <w:rsid w:val="00CF254D"/>
    <w:rsid w:val="00CF4C60"/>
    <w:rsid w:val="00CF6156"/>
    <w:rsid w:val="00D031D0"/>
    <w:rsid w:val="00D03490"/>
    <w:rsid w:val="00D07CCF"/>
    <w:rsid w:val="00D07F85"/>
    <w:rsid w:val="00D1480E"/>
    <w:rsid w:val="00D260B4"/>
    <w:rsid w:val="00D2631D"/>
    <w:rsid w:val="00D515FA"/>
    <w:rsid w:val="00D5374A"/>
    <w:rsid w:val="00D53846"/>
    <w:rsid w:val="00D55FD1"/>
    <w:rsid w:val="00D6557E"/>
    <w:rsid w:val="00D67372"/>
    <w:rsid w:val="00D86FA7"/>
    <w:rsid w:val="00D9071F"/>
    <w:rsid w:val="00D92878"/>
    <w:rsid w:val="00DB2179"/>
    <w:rsid w:val="00DB659A"/>
    <w:rsid w:val="00DC1231"/>
    <w:rsid w:val="00DD0B3E"/>
    <w:rsid w:val="00DD3A6B"/>
    <w:rsid w:val="00DF413C"/>
    <w:rsid w:val="00DF5352"/>
    <w:rsid w:val="00DF61F7"/>
    <w:rsid w:val="00E06BC2"/>
    <w:rsid w:val="00E06F3E"/>
    <w:rsid w:val="00E11B16"/>
    <w:rsid w:val="00E1321D"/>
    <w:rsid w:val="00E1599F"/>
    <w:rsid w:val="00E201DF"/>
    <w:rsid w:val="00E21A2F"/>
    <w:rsid w:val="00E2708B"/>
    <w:rsid w:val="00E272D7"/>
    <w:rsid w:val="00E30736"/>
    <w:rsid w:val="00E37DA4"/>
    <w:rsid w:val="00E43417"/>
    <w:rsid w:val="00E44DE8"/>
    <w:rsid w:val="00E5655A"/>
    <w:rsid w:val="00E64050"/>
    <w:rsid w:val="00E64D35"/>
    <w:rsid w:val="00E67C21"/>
    <w:rsid w:val="00E71FE8"/>
    <w:rsid w:val="00E73571"/>
    <w:rsid w:val="00E750C4"/>
    <w:rsid w:val="00E775A1"/>
    <w:rsid w:val="00E8780E"/>
    <w:rsid w:val="00EA4E6E"/>
    <w:rsid w:val="00EA68D1"/>
    <w:rsid w:val="00EA7457"/>
    <w:rsid w:val="00EB713E"/>
    <w:rsid w:val="00ED4ED0"/>
    <w:rsid w:val="00EE1EB7"/>
    <w:rsid w:val="00EE2E1C"/>
    <w:rsid w:val="00EE7838"/>
    <w:rsid w:val="00EF051C"/>
    <w:rsid w:val="00F00604"/>
    <w:rsid w:val="00F15B51"/>
    <w:rsid w:val="00F25B3D"/>
    <w:rsid w:val="00F33B68"/>
    <w:rsid w:val="00F34033"/>
    <w:rsid w:val="00F43B18"/>
    <w:rsid w:val="00F46001"/>
    <w:rsid w:val="00F46A1A"/>
    <w:rsid w:val="00F54C7E"/>
    <w:rsid w:val="00F7053B"/>
    <w:rsid w:val="00F73BC3"/>
    <w:rsid w:val="00F76EED"/>
    <w:rsid w:val="00F80553"/>
    <w:rsid w:val="00F95636"/>
    <w:rsid w:val="00FA34E4"/>
    <w:rsid w:val="00FA47D4"/>
    <w:rsid w:val="00FE163C"/>
    <w:rsid w:val="00FE4D40"/>
    <w:rsid w:val="00FE6BE0"/>
    <w:rsid w:val="00FF2C79"/>
    <w:rsid w:val="00FF5B49"/>
    <w:rsid w:val="00FF69DA"/>
    <w:rsid w:val="6672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93C7"/>
  <w15:chartTrackingRefBased/>
  <w15:docId w15:val="{CA8216E0-8E5D-49D2-9889-93B2BA6B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5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55DC"/>
    <w:rPr>
      <w:color w:val="0000FF"/>
      <w:u w:val="single"/>
    </w:rPr>
  </w:style>
  <w:style w:type="paragraph" w:styleId="ListParagraph">
    <w:name w:val="List Paragraph"/>
    <w:basedOn w:val="Normal"/>
    <w:uiPriority w:val="34"/>
    <w:qFormat/>
    <w:rsid w:val="007F55DC"/>
    <w:pPr>
      <w:ind w:left="720"/>
      <w:contextualSpacing/>
    </w:pPr>
    <w:rPr>
      <w:sz w:val="20"/>
      <w:szCs w:val="20"/>
    </w:rPr>
  </w:style>
  <w:style w:type="character" w:styleId="CommentReference">
    <w:name w:val="annotation reference"/>
    <w:basedOn w:val="DefaultParagraphFont"/>
    <w:uiPriority w:val="99"/>
    <w:semiHidden/>
    <w:unhideWhenUsed/>
    <w:rsid w:val="00A87A6B"/>
    <w:rPr>
      <w:sz w:val="16"/>
      <w:szCs w:val="16"/>
    </w:rPr>
  </w:style>
  <w:style w:type="paragraph" w:styleId="CommentText">
    <w:name w:val="annotation text"/>
    <w:basedOn w:val="Normal"/>
    <w:link w:val="CommentTextChar"/>
    <w:uiPriority w:val="99"/>
    <w:semiHidden/>
    <w:unhideWhenUsed/>
    <w:rsid w:val="00A87A6B"/>
    <w:rPr>
      <w:sz w:val="20"/>
      <w:szCs w:val="20"/>
    </w:rPr>
  </w:style>
  <w:style w:type="character" w:customStyle="1" w:styleId="CommentTextChar">
    <w:name w:val="Comment Text Char"/>
    <w:basedOn w:val="DefaultParagraphFont"/>
    <w:link w:val="CommentText"/>
    <w:uiPriority w:val="99"/>
    <w:semiHidden/>
    <w:rsid w:val="00A87A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7A6B"/>
    <w:rPr>
      <w:b/>
      <w:bCs/>
    </w:rPr>
  </w:style>
  <w:style w:type="character" w:customStyle="1" w:styleId="CommentSubjectChar">
    <w:name w:val="Comment Subject Char"/>
    <w:basedOn w:val="CommentTextChar"/>
    <w:link w:val="CommentSubject"/>
    <w:uiPriority w:val="99"/>
    <w:semiHidden/>
    <w:rsid w:val="00A87A6B"/>
    <w:rPr>
      <w:rFonts w:ascii="Times New Roman" w:eastAsia="Times New Roman" w:hAnsi="Times New Roman" w:cs="Times New Roman"/>
      <w:b/>
      <w:bCs/>
      <w:sz w:val="20"/>
      <w:szCs w:val="20"/>
    </w:rPr>
  </w:style>
  <w:style w:type="character" w:customStyle="1" w:styleId="normaltextrun">
    <w:name w:val="normaltextrun"/>
    <w:basedOn w:val="DefaultParagraphFont"/>
    <w:rsid w:val="00BB750F"/>
  </w:style>
  <w:style w:type="paragraph" w:styleId="Revision">
    <w:name w:val="Revision"/>
    <w:hidden/>
    <w:uiPriority w:val="99"/>
    <w:semiHidden/>
    <w:rsid w:val="00AB6C4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F3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2180">
      <w:bodyDiv w:val="1"/>
      <w:marLeft w:val="0"/>
      <w:marRight w:val="0"/>
      <w:marTop w:val="0"/>
      <w:marBottom w:val="0"/>
      <w:divBdr>
        <w:top w:val="none" w:sz="0" w:space="0" w:color="auto"/>
        <w:left w:val="none" w:sz="0" w:space="0" w:color="auto"/>
        <w:bottom w:val="none" w:sz="0" w:space="0" w:color="auto"/>
        <w:right w:val="none" w:sz="0" w:space="0" w:color="auto"/>
      </w:divBdr>
    </w:div>
    <w:div w:id="753864238">
      <w:bodyDiv w:val="1"/>
      <w:marLeft w:val="0"/>
      <w:marRight w:val="0"/>
      <w:marTop w:val="0"/>
      <w:marBottom w:val="0"/>
      <w:divBdr>
        <w:top w:val="none" w:sz="0" w:space="0" w:color="auto"/>
        <w:left w:val="none" w:sz="0" w:space="0" w:color="auto"/>
        <w:bottom w:val="none" w:sz="0" w:space="0" w:color="auto"/>
        <w:right w:val="none" w:sz="0" w:space="0" w:color="auto"/>
      </w:divBdr>
    </w:div>
    <w:div w:id="822739120">
      <w:bodyDiv w:val="1"/>
      <w:marLeft w:val="0"/>
      <w:marRight w:val="0"/>
      <w:marTop w:val="0"/>
      <w:marBottom w:val="0"/>
      <w:divBdr>
        <w:top w:val="none" w:sz="0" w:space="0" w:color="auto"/>
        <w:left w:val="none" w:sz="0" w:space="0" w:color="auto"/>
        <w:bottom w:val="none" w:sz="0" w:space="0" w:color="auto"/>
        <w:right w:val="none" w:sz="0" w:space="0" w:color="auto"/>
      </w:divBdr>
    </w:div>
    <w:div w:id="1350453193">
      <w:bodyDiv w:val="1"/>
      <w:marLeft w:val="0"/>
      <w:marRight w:val="0"/>
      <w:marTop w:val="0"/>
      <w:marBottom w:val="0"/>
      <w:divBdr>
        <w:top w:val="none" w:sz="0" w:space="0" w:color="auto"/>
        <w:left w:val="none" w:sz="0" w:space="0" w:color="auto"/>
        <w:bottom w:val="none" w:sz="0" w:space="0" w:color="auto"/>
        <w:right w:val="none" w:sz="0" w:space="0" w:color="auto"/>
      </w:divBdr>
    </w:div>
    <w:div w:id="1661883015">
      <w:bodyDiv w:val="1"/>
      <w:marLeft w:val="0"/>
      <w:marRight w:val="0"/>
      <w:marTop w:val="0"/>
      <w:marBottom w:val="0"/>
      <w:divBdr>
        <w:top w:val="none" w:sz="0" w:space="0" w:color="auto"/>
        <w:left w:val="none" w:sz="0" w:space="0" w:color="auto"/>
        <w:bottom w:val="none" w:sz="0" w:space="0" w:color="auto"/>
        <w:right w:val="none" w:sz="0" w:space="0" w:color="auto"/>
      </w:divBdr>
      <w:divsChild>
        <w:div w:id="115492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048362BB5224D97280A3B39DC0CE1" ma:contentTypeVersion="16" ma:contentTypeDescription="Create a new document." ma:contentTypeScope="" ma:versionID="5de0de92460638c0b89b3d91c9b24010">
  <xsd:schema xmlns:xsd="http://www.w3.org/2001/XMLSchema" xmlns:xs="http://www.w3.org/2001/XMLSchema" xmlns:p="http://schemas.microsoft.com/office/2006/metadata/properties" xmlns:ns1="http://schemas.microsoft.com/sharepoint/v3" xmlns:ns2="adcd49d5-3d3c-4e05-b73b-bad8eb7f9247" xmlns:ns3="f88f566f-df70-4631-8f95-44ccbae39de4" targetNamespace="http://schemas.microsoft.com/office/2006/metadata/properties" ma:root="true" ma:fieldsID="15fd2fc97adf204f4546e7c163b90910" ns1:_="" ns2:_="" ns3:_="">
    <xsd:import namespace="http://schemas.microsoft.com/sharepoint/v3"/>
    <xsd:import namespace="adcd49d5-3d3c-4e05-b73b-bad8eb7f9247"/>
    <xsd:import namespace="f88f566f-df70-4631-8f95-44ccbae39de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d49d5-3d3c-4e05-b73b-bad8eb7f9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4032c-a330-4847-9ce1-ec5da46de3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8f566f-df70-4631-8f95-44ccbae39de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021981-a7ba-410e-9bc8-0fec5f7c95c3}" ma:internalName="TaxCatchAll" ma:showField="CatchAllData" ma:web="f88f566f-df70-4631-8f95-44ccbae39d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cd49d5-3d3c-4e05-b73b-bad8eb7f9247">
      <Terms xmlns="http://schemas.microsoft.com/office/infopath/2007/PartnerControls"/>
    </lcf76f155ced4ddcb4097134ff3c332f>
    <_ip_UnifiedCompliancePolicyProperties xmlns="http://schemas.microsoft.com/sharepoint/v3" xsi:nil="true"/>
    <TaxCatchAll xmlns="f88f566f-df70-4631-8f95-44ccbae39de4" xsi:nil="true"/>
  </documentManagement>
</p:properties>
</file>

<file path=customXml/itemProps1.xml><?xml version="1.0" encoding="utf-8"?>
<ds:datastoreItem xmlns:ds="http://schemas.openxmlformats.org/officeDocument/2006/customXml" ds:itemID="{B737FB95-C683-4A0E-8498-C6EB8A1531BA}">
  <ds:schemaRefs>
    <ds:schemaRef ds:uri="http://schemas.microsoft.com/sharepoint/v3/contenttype/forms"/>
  </ds:schemaRefs>
</ds:datastoreItem>
</file>

<file path=customXml/itemProps2.xml><?xml version="1.0" encoding="utf-8"?>
<ds:datastoreItem xmlns:ds="http://schemas.openxmlformats.org/officeDocument/2006/customXml" ds:itemID="{286416B3-E95E-4B82-BB69-E2078A518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d49d5-3d3c-4e05-b73b-bad8eb7f9247"/>
    <ds:schemaRef ds:uri="f88f566f-df70-4631-8f95-44ccbae39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62EC0-F823-482D-A78C-5A866CC3E4BA}">
  <ds:schemaRefs>
    <ds:schemaRef ds:uri="http://schemas.openxmlformats.org/officeDocument/2006/bibliography"/>
  </ds:schemaRefs>
</ds:datastoreItem>
</file>

<file path=customXml/itemProps4.xml><?xml version="1.0" encoding="utf-8"?>
<ds:datastoreItem xmlns:ds="http://schemas.openxmlformats.org/officeDocument/2006/customXml" ds:itemID="{B7E14C5D-C533-42C2-8DDA-3CEDE766458C}">
  <ds:schemaRefs>
    <ds:schemaRef ds:uri="http://schemas.microsoft.com/office/2006/metadata/properties"/>
    <ds:schemaRef ds:uri="http://schemas.microsoft.com/office/infopath/2007/PartnerControls"/>
    <ds:schemaRef ds:uri="http://schemas.microsoft.com/sharepoint/v3"/>
    <ds:schemaRef ds:uri="adcd49d5-3d3c-4e05-b73b-bad8eb7f9247"/>
    <ds:schemaRef ds:uri="f88f566f-df70-4631-8f95-44ccbae39de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COH</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Kimberly - HCD</dc:creator>
  <cp:keywords/>
  <dc:description/>
  <cp:lastModifiedBy>Goodner, Jamie - HCD</cp:lastModifiedBy>
  <cp:revision>8</cp:revision>
  <dcterms:created xsi:type="dcterms:W3CDTF">2023-04-17T16:20:00Z</dcterms:created>
  <dcterms:modified xsi:type="dcterms:W3CDTF">2023-04-20T17:01:00Z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0x0101005A9048362BB5224D97280A3B39DC0CE1</vt:lpwstr>
  </property>
</Properties>
</file>